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CB" w:rsidRPr="00C965CB" w:rsidRDefault="00C965CB" w:rsidP="00C965CB">
      <w:pPr>
        <w:shd w:val="clear" w:color="auto" w:fill="FFFFFF"/>
        <w:spacing w:after="150" w:line="384" w:lineRule="atLeast"/>
        <w:ind w:left="48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Referitor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la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instituirea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către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Comisia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Europeană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a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Platformei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pentru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buna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guvernanţă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fiscală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scopul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combaterii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fraudei</w:t>
      </w:r>
      <w:proofErr w:type="spellEnd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fiscale</w:t>
      </w:r>
      <w:proofErr w:type="spellEnd"/>
    </w:p>
    <w:p w:rsidR="00C965CB" w:rsidRPr="00C965CB" w:rsidRDefault="00C965CB" w:rsidP="00C965CB">
      <w:pPr>
        <w:shd w:val="clear" w:color="auto" w:fill="FFFFFF"/>
        <w:spacing w:after="150" w:line="384" w:lineRule="atLeast"/>
        <w:ind w:left="48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data de 23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aprilie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2013,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Comisia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Europeană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instituit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 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Platforma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pentru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buna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guvernanţă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fiscală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 care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va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monitoriza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progresele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statelor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membre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ceea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priveşte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combaterea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planificării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agresive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şi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paradisurilor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conformitate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cu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recomandările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Comisiei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prezentate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data de 10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decembrie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2012.</w:t>
      </w:r>
    </w:p>
    <w:p w:rsidR="00C965CB" w:rsidRPr="00C965CB" w:rsidRDefault="00C965CB" w:rsidP="00C965CB">
      <w:pPr>
        <w:shd w:val="clear" w:color="auto" w:fill="FFFFFF"/>
        <w:spacing w:after="150" w:line="384" w:lineRule="atLeast"/>
        <w:ind w:left="48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Platforma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va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fi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alcătuită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din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aproximativ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45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membri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: un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reprezentant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la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nivel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înalt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din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cadrul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autorităţii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din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fiecare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stat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membru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şi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până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la 15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reprezentanţi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neguvernamentali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care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vor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fi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desemnaţi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către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Comisia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Europeană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printr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-un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proces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deschis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selecţie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.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acest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sens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Comisia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lansat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cererea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candidaturi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iar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organizaţiile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interesate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pot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transmite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aplicaţiile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până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8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mai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a.c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. Mai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multe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detalii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pot fi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găsite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accesând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următorul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link: </w:t>
      </w:r>
      <w:hyperlink r:id="rId6" w:tgtFrame="_blank" w:history="1">
        <w:r w:rsidRPr="00C965CB">
          <w:rPr>
            <w:rFonts w:ascii="Verdana" w:eastAsia="Times New Roman" w:hAnsi="Verdana" w:cs="Times New Roman"/>
            <w:color w:val="286EA0"/>
            <w:sz w:val="17"/>
            <w:szCs w:val="17"/>
            <w:lang w:eastAsia="en-GB"/>
          </w:rPr>
          <w:t>http://europa.eu/rapid/press-release_IP-13-351_en.htm</w:t>
        </w:r>
      </w:hyperlink>
    </w:p>
    <w:p w:rsidR="00C965CB" w:rsidRPr="00C965CB" w:rsidRDefault="00C965CB" w:rsidP="00C965CB">
      <w:pPr>
        <w:shd w:val="clear" w:color="auto" w:fill="FFFFFF"/>
        <w:spacing w:after="150" w:line="384" w:lineRule="atLeast"/>
        <w:ind w:left="48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Reprezentanţii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Ministerului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Finanţelor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Publice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cadrul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acestei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platforme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sunt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:</w:t>
      </w:r>
    </w:p>
    <w:p w:rsidR="00C965CB" w:rsidRPr="00C965CB" w:rsidRDefault="00C965CB" w:rsidP="00C965CB">
      <w:pPr>
        <w:numPr>
          <w:ilvl w:val="1"/>
          <w:numId w:val="1"/>
        </w:numPr>
        <w:shd w:val="clear" w:color="auto" w:fill="FFFFFF"/>
        <w:spacing w:after="60" w:line="336" w:lineRule="atLeast"/>
        <w:ind w:left="93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calitate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membru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-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domnul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Gelu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Ştefan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Diaconu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preşedintele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Agenţiei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Naţionale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Administrare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Fiscală</w:t>
      </w:r>
      <w:proofErr w:type="spellEnd"/>
    </w:p>
    <w:p w:rsidR="00C965CB" w:rsidRPr="00C965CB" w:rsidRDefault="00C965CB" w:rsidP="00C965CB">
      <w:pPr>
        <w:numPr>
          <w:ilvl w:val="1"/>
          <w:numId w:val="1"/>
        </w:numPr>
        <w:shd w:val="clear" w:color="auto" w:fill="FFFFFF"/>
        <w:spacing w:after="60" w:line="336" w:lineRule="atLeast"/>
        <w:ind w:left="93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proofErr w:type="gram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proofErr w:type="gram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calitate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membru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supleant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-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domnul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Dan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Manolescu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secretar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stat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cadrul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Ministerului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Finanţelor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Publice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.</w:t>
      </w:r>
    </w:p>
    <w:p w:rsidR="00C965CB" w:rsidRPr="00C965CB" w:rsidRDefault="00C965CB" w:rsidP="00C965CB">
      <w:pPr>
        <w:shd w:val="clear" w:color="auto" w:fill="FFFFFF"/>
        <w:spacing w:after="150" w:line="384" w:lineRule="atLeast"/>
        <w:ind w:left="480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Platforma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pentru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buna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guvernanţă</w:t>
      </w:r>
      <w:proofErr w:type="spellEnd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en-GB"/>
        </w:rPr>
        <w:t>fiscală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 </w:t>
      </w:r>
      <w:proofErr w:type="spellStart"/>
      <w:proofErr w:type="gram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este</w:t>
      </w:r>
      <w:proofErr w:type="spellEnd"/>
      <w:proofErr w:type="gram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una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din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direcţiile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propuse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cadrul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Planului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de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acţiune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al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Comisiei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pentru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combaterea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fraudei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ceea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va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permite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un dialog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probleme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referitoare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la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buna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guvernanţă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în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domeniul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fiscal,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combaterea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planificării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fiscale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agresive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şi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evitarea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dublei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impuneri</w:t>
      </w:r>
      <w:proofErr w:type="spellEnd"/>
      <w:r w:rsidRPr="00C965CB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.</w:t>
      </w:r>
    </w:p>
    <w:p w:rsidR="008047C6" w:rsidRDefault="008047C6">
      <w:bookmarkStart w:id="0" w:name="_GoBack"/>
      <w:bookmarkEnd w:id="0"/>
    </w:p>
    <w:sectPr w:rsidR="0080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318"/>
    <w:multiLevelType w:val="multilevel"/>
    <w:tmpl w:val="AD70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CB"/>
    <w:rsid w:val="008047C6"/>
    <w:rsid w:val="00C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65CB"/>
    <w:rPr>
      <w:b/>
      <w:bCs/>
    </w:rPr>
  </w:style>
  <w:style w:type="character" w:customStyle="1" w:styleId="apple-converted-space">
    <w:name w:val="apple-converted-space"/>
    <w:basedOn w:val="DefaultParagraphFont"/>
    <w:rsid w:val="00C965CB"/>
  </w:style>
  <w:style w:type="character" w:styleId="Emphasis">
    <w:name w:val="Emphasis"/>
    <w:basedOn w:val="DefaultParagraphFont"/>
    <w:uiPriority w:val="20"/>
    <w:qFormat/>
    <w:rsid w:val="00C965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6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65CB"/>
    <w:rPr>
      <w:b/>
      <w:bCs/>
    </w:rPr>
  </w:style>
  <w:style w:type="character" w:customStyle="1" w:styleId="apple-converted-space">
    <w:name w:val="apple-converted-space"/>
    <w:basedOn w:val="DefaultParagraphFont"/>
    <w:rsid w:val="00C965CB"/>
  </w:style>
  <w:style w:type="character" w:styleId="Emphasis">
    <w:name w:val="Emphasis"/>
    <w:basedOn w:val="DefaultParagraphFont"/>
    <w:uiPriority w:val="20"/>
    <w:qFormat/>
    <w:rsid w:val="00C965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6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rapid/press-release_IP-13-351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2013-05-02T18:53:00Z</dcterms:created>
  <dcterms:modified xsi:type="dcterms:W3CDTF">2013-05-02T18:53:00Z</dcterms:modified>
</cp:coreProperties>
</file>