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23" w:rsidRPr="00382D23" w:rsidRDefault="00382D23" w:rsidP="00382D23">
      <w:pPr>
        <w:shd w:val="clear" w:color="auto" w:fill="FFFFFF"/>
        <w:spacing w:after="150" w:line="240" w:lineRule="auto"/>
        <w:jc w:val="center"/>
        <w:rPr>
          <w:rFonts w:ascii="Arial" w:eastAsia="Times New Roman" w:hAnsi="Arial" w:cs="Arial"/>
          <w:b/>
          <w:bCs/>
          <w:color w:val="3D3D3D"/>
          <w:sz w:val="16"/>
          <w:szCs w:val="16"/>
          <w:lang w:val="ro-RO" w:eastAsia="ro-RO"/>
        </w:rPr>
      </w:pPr>
      <w:r>
        <w:rPr>
          <w:rFonts w:ascii="Arial" w:eastAsia="Times New Roman" w:hAnsi="Arial" w:cs="Arial"/>
          <w:b/>
          <w:bCs/>
          <w:noProof/>
          <w:color w:val="3D3D3D"/>
          <w:sz w:val="27"/>
          <w:szCs w:val="27"/>
          <w:lang w:val="ro-RO" w:eastAsia="ro-RO"/>
        </w:rPr>
        <w:drawing>
          <wp:inline distT="0" distB="0" distL="0" distR="0">
            <wp:extent cx="954405" cy="954405"/>
            <wp:effectExtent l="19050" t="0" r="0" b="0"/>
            <wp:docPr id="1" name="Pictur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382D23" w:rsidRPr="00382D23" w:rsidRDefault="00382D23" w:rsidP="00382D23">
      <w:pPr>
        <w:shd w:val="clear" w:color="auto" w:fill="FFFFFF"/>
        <w:spacing w:after="0" w:line="240" w:lineRule="auto"/>
        <w:jc w:val="center"/>
        <w:rPr>
          <w:rFonts w:ascii="Arial" w:eastAsia="Times New Roman" w:hAnsi="Arial" w:cs="Arial"/>
          <w:b/>
          <w:bCs/>
          <w:color w:val="3D3D3D"/>
          <w:sz w:val="16"/>
          <w:szCs w:val="16"/>
          <w:lang w:val="ro-RO" w:eastAsia="ro-RO"/>
        </w:rPr>
      </w:pPr>
      <w:r w:rsidRPr="00382D23">
        <w:rPr>
          <w:rFonts w:ascii="Arial" w:eastAsia="Times New Roman" w:hAnsi="Arial" w:cs="Arial"/>
          <w:b/>
          <w:bCs/>
          <w:i/>
          <w:iCs/>
          <w:color w:val="3D3D3D"/>
          <w:sz w:val="16"/>
          <w:lang w:val="ro-RO" w:eastAsia="ro-RO"/>
        </w:rPr>
        <w:t>MINISTERUL JUSTIŢIEI</w:t>
      </w:r>
    </w:p>
    <w:p w:rsidR="00382D23" w:rsidRPr="00382D23" w:rsidRDefault="00382D23" w:rsidP="00382D23">
      <w:pPr>
        <w:shd w:val="clear" w:color="auto" w:fill="FFFFFF"/>
        <w:spacing w:after="0" w:line="240" w:lineRule="auto"/>
        <w:jc w:val="center"/>
        <w:rPr>
          <w:rFonts w:ascii="Arial" w:eastAsia="Times New Roman" w:hAnsi="Arial" w:cs="Arial"/>
          <w:b/>
          <w:bCs/>
          <w:color w:val="3D3D3D"/>
          <w:sz w:val="16"/>
          <w:szCs w:val="16"/>
          <w:lang w:val="ro-RO" w:eastAsia="ro-RO"/>
        </w:rPr>
      </w:pPr>
      <w:r w:rsidRPr="00382D23">
        <w:rPr>
          <w:rFonts w:ascii="Arial" w:eastAsia="Times New Roman" w:hAnsi="Arial" w:cs="Arial"/>
          <w:b/>
          <w:bCs/>
          <w:color w:val="3D3D3D"/>
          <w:sz w:val="16"/>
          <w:szCs w:val="16"/>
          <w:lang w:val="ro-RO" w:eastAsia="ro-RO"/>
        </w:rPr>
        <w:t> </w:t>
      </w:r>
    </w:p>
    <w:p w:rsidR="00382D23" w:rsidRPr="00382D23" w:rsidRDefault="00382D23" w:rsidP="00382D23">
      <w:pPr>
        <w:shd w:val="clear" w:color="auto" w:fill="FFFFFF"/>
        <w:spacing w:after="0" w:line="240" w:lineRule="auto"/>
        <w:jc w:val="right"/>
        <w:rPr>
          <w:rFonts w:ascii="Arial" w:eastAsia="Times New Roman" w:hAnsi="Arial" w:cs="Arial"/>
          <w:b/>
          <w:bCs/>
          <w:color w:val="3D3D3D"/>
          <w:sz w:val="16"/>
          <w:szCs w:val="16"/>
          <w:lang w:val="ro-RO" w:eastAsia="ro-RO"/>
        </w:rPr>
      </w:pPr>
      <w:r w:rsidRPr="00382D23">
        <w:rPr>
          <w:rFonts w:ascii="Arial" w:eastAsia="Times New Roman" w:hAnsi="Arial" w:cs="Arial"/>
          <w:b/>
          <w:bCs/>
          <w:i/>
          <w:iCs/>
          <w:color w:val="3D3D3D"/>
          <w:sz w:val="16"/>
          <w:lang w:val="ro-RO" w:eastAsia="ro-RO"/>
        </w:rPr>
        <w:t>7 iunie 2013</w:t>
      </w:r>
    </w:p>
    <w:p w:rsidR="00382D23" w:rsidRPr="00382D23" w:rsidRDefault="00382D23" w:rsidP="00382D23">
      <w:pPr>
        <w:shd w:val="clear" w:color="auto" w:fill="FFFFFF"/>
        <w:spacing w:after="0" w:line="240" w:lineRule="auto"/>
        <w:jc w:val="center"/>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w:t>
      </w:r>
    </w:p>
    <w:p w:rsidR="00382D23" w:rsidRPr="00382D23" w:rsidRDefault="00382D23" w:rsidP="00382D23">
      <w:pPr>
        <w:shd w:val="clear" w:color="auto" w:fill="FFFFFF"/>
        <w:spacing w:after="0" w:line="240" w:lineRule="auto"/>
        <w:jc w:val="center"/>
        <w:rPr>
          <w:rFonts w:ascii="Arial" w:eastAsia="Times New Roman" w:hAnsi="Arial" w:cs="Arial"/>
          <w:color w:val="3D3D3D"/>
          <w:sz w:val="16"/>
          <w:szCs w:val="16"/>
          <w:lang w:val="ro-RO" w:eastAsia="ro-RO"/>
        </w:rPr>
      </w:pPr>
      <w:r w:rsidRPr="00382D23">
        <w:rPr>
          <w:rFonts w:ascii="Arial" w:eastAsia="Times New Roman" w:hAnsi="Arial" w:cs="Arial"/>
          <w:b/>
          <w:bCs/>
          <w:color w:val="3D3D3D"/>
          <w:sz w:val="16"/>
          <w:szCs w:val="16"/>
          <w:lang w:val="ro-RO" w:eastAsia="ro-RO"/>
        </w:rPr>
        <w:t>Comunicat de presă privind propunerile ministrului justiţiei de numire în funcţii de conducere la nivelul PÎCCJ şi DNA</w:t>
      </w:r>
    </w:p>
    <w:p w:rsidR="00382D23" w:rsidRPr="00382D23" w:rsidRDefault="00382D23" w:rsidP="00382D23">
      <w:pPr>
        <w:shd w:val="clear" w:color="auto" w:fill="FFFFFF"/>
        <w:spacing w:after="0" w:line="240" w:lineRule="auto"/>
        <w:jc w:val="center"/>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w:t>
      </w:r>
    </w:p>
    <w:p w:rsidR="00382D23" w:rsidRPr="00382D23" w:rsidRDefault="00382D23" w:rsidP="00382D23">
      <w:pPr>
        <w:shd w:val="clear" w:color="auto" w:fill="FFFFFF"/>
        <w:spacing w:after="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Ministrul Justiţiei, Robert Cazanciuc, a transmis vineri, 07 iunie  2013, Consiliului Superior al Magistraturii, propunerile pentru numirea în funcţia de procuror şef adjunct al Direcţiei Naţionale Anticorupţie, precum şi în funcţii de conducere la nivelul secţiilor din cadrul Parchetului de pe lângă Înalta Curte de Casaţie şi Justiţie, a următorilor procurori:</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adjunct al DNA – Marius Constantin Iacob;</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Secţia de urmărire penală şi criminalistică – Camelia Sutiman;</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Secţia Judiciară – Iuliana Nedelcu;</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secţie adjunct Secţia Judiciară – Antonia-Eleonora Constantin;</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Secţia de resurse umane şi documentare – Simona Brădiceanu;</w:t>
      </w:r>
    </w:p>
    <w:p w:rsidR="00382D23" w:rsidRPr="00382D23" w:rsidRDefault="00382D23" w:rsidP="00382D23">
      <w:pPr>
        <w:shd w:val="clear" w:color="auto" w:fill="FFFFFF"/>
        <w:spacing w:after="15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propunere procuror şef Secţia Parchetelor Militare - general - maior Ion Vasilache.</w:t>
      </w:r>
    </w:p>
    <w:p w:rsidR="00382D23" w:rsidRPr="00382D23" w:rsidRDefault="00382D23" w:rsidP="00382D23">
      <w:pPr>
        <w:shd w:val="clear" w:color="auto" w:fill="FFFFFF"/>
        <w:spacing w:after="0" w:line="240" w:lineRule="auto"/>
        <w:jc w:val="both"/>
        <w:rPr>
          <w:rFonts w:ascii="Arial" w:eastAsia="Times New Roman" w:hAnsi="Arial" w:cs="Arial"/>
          <w:color w:val="3D3D3D"/>
          <w:sz w:val="16"/>
          <w:szCs w:val="16"/>
          <w:lang w:val="ro-RO" w:eastAsia="ro-RO"/>
        </w:rPr>
      </w:pPr>
      <w:r w:rsidRPr="00382D23">
        <w:rPr>
          <w:rFonts w:ascii="Arial" w:eastAsia="Times New Roman" w:hAnsi="Arial" w:cs="Arial"/>
          <w:color w:val="3D3D3D"/>
          <w:sz w:val="16"/>
          <w:szCs w:val="16"/>
          <w:lang w:val="ro-RO" w:eastAsia="ro-RO"/>
        </w:rPr>
        <w:t>         Potrivit dispoziţiilor art.54 alin. 1 din Legea 303/2004, procurorul general al Parchetului de pe lângă Înalta Curte de Casaţie şi Justiţie (PÎCCJ), prim adjunctul şi adjunctul acestuia, procurorul şef al Direcţiei Naţionale Anticorupţie (DNA), adjuncţii acestuia, procurorii şefi de secţie ai acestor parchete, precum şi procurorul şef al Direcţiei de Investigare a Infracţiunilor de Criminalitate Organizată şi Terorism (DIICOT) şi adjuncţii acestora sunt numiţi de Preşedintele României, la propunerea ministrului justiţiei, cu avizul Consiliului Superior al Magistraturii, dintre procurorii care au o vechime minimă de 10 ani în funcţia de judecător sau procuror, pe o perioadă de trei ani, cu posibilitatea reînvestirii o singură data</w:t>
      </w:r>
    </w:p>
    <w:p w:rsidR="00C10481" w:rsidRPr="00382D23" w:rsidRDefault="00C10481">
      <w:pPr>
        <w:rPr>
          <w:lang w:val="ro-RO"/>
        </w:rPr>
      </w:pPr>
    </w:p>
    <w:sectPr w:rsidR="00C10481" w:rsidRPr="00382D23" w:rsidSect="00C10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2D23"/>
    <w:rsid w:val="000A166E"/>
    <w:rsid w:val="00382D23"/>
    <w:rsid w:val="00C104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D2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382D23"/>
    <w:rPr>
      <w:i/>
      <w:iCs/>
    </w:rPr>
  </w:style>
  <w:style w:type="paragraph" w:styleId="BalloonText">
    <w:name w:val="Balloon Text"/>
    <w:basedOn w:val="Normal"/>
    <w:link w:val="BalloonTextChar"/>
    <w:uiPriority w:val="99"/>
    <w:semiHidden/>
    <w:unhideWhenUsed/>
    <w:rsid w:val="0038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2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689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1508</Characters>
  <Application>Microsoft Office Word</Application>
  <DocSecurity>0</DocSecurity>
  <Lines>12</Lines>
  <Paragraphs>3</Paragraphs>
  <ScaleCrop>false</ScaleCrop>
  <Company>Grizli777</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2013-06-07T12:10:00Z</dcterms:created>
  <dcterms:modified xsi:type="dcterms:W3CDTF">2013-06-07T12:11:00Z</dcterms:modified>
</cp:coreProperties>
</file>