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B3" w:rsidRPr="001242E7" w:rsidRDefault="008B0367" w:rsidP="00C413F6">
      <w:pPr>
        <w:pStyle w:val="stiltext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1242E7">
        <w:rPr>
          <w:rFonts w:ascii="Times New Roman" w:hAnsi="Times New Roman" w:cs="Times New Roman"/>
          <w:b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828800" cy="1290320"/>
            <wp:effectExtent l="0" t="0" r="0" b="508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6F3" w:rsidRDefault="005806F3" w:rsidP="00427A69">
      <w:pPr>
        <w:pStyle w:val="stiltex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733E" w:rsidRDefault="003C733E" w:rsidP="00427A69">
      <w:pPr>
        <w:pStyle w:val="stiltex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7334" w:rsidRPr="003C733E" w:rsidRDefault="00DC7334" w:rsidP="00427A69">
      <w:pPr>
        <w:pStyle w:val="stiltex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733E">
        <w:rPr>
          <w:rFonts w:ascii="Times New Roman" w:hAnsi="Times New Roman" w:cs="Times New Roman"/>
          <w:b/>
          <w:color w:val="auto"/>
          <w:sz w:val="28"/>
          <w:szCs w:val="28"/>
        </w:rPr>
        <w:t>COMUNICAT</w:t>
      </w:r>
    </w:p>
    <w:p w:rsidR="003C733E" w:rsidRPr="003C733E" w:rsidRDefault="003C733E" w:rsidP="00427A69">
      <w:pPr>
        <w:pStyle w:val="stiltext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3C733E">
        <w:rPr>
          <w:rFonts w:ascii="Times New Roman" w:hAnsi="Times New Roman" w:cs="Times New Roman"/>
          <w:b/>
          <w:color w:val="auto"/>
        </w:rPr>
        <w:t>privind programul european AIAKOS 2015</w:t>
      </w:r>
    </w:p>
    <w:p w:rsidR="005806F3" w:rsidRPr="001242E7" w:rsidRDefault="005806F3" w:rsidP="003C733E">
      <w:pPr>
        <w:spacing w:line="276" w:lineRule="auto"/>
        <w:jc w:val="both"/>
      </w:pPr>
    </w:p>
    <w:p w:rsidR="00427A69" w:rsidRPr="001242E7" w:rsidRDefault="00427A69" w:rsidP="003C733E">
      <w:pPr>
        <w:spacing w:line="276" w:lineRule="auto"/>
        <w:jc w:val="both"/>
      </w:pPr>
      <w:r w:rsidRPr="001242E7">
        <w:t xml:space="preserve">În perioada </w:t>
      </w:r>
      <w:r w:rsidR="00B27D8B">
        <w:t>16</w:t>
      </w:r>
      <w:r w:rsidRPr="001242E7">
        <w:t xml:space="preserve"> – </w:t>
      </w:r>
      <w:r w:rsidR="00B27D8B">
        <w:t>20 noiembrie 2015</w:t>
      </w:r>
      <w:r w:rsidRPr="001242E7">
        <w:t xml:space="preserve">, Institutul Național al Magistraturii a primit la sediul său, în contextul </w:t>
      </w:r>
      <w:r w:rsidR="00F10CF1" w:rsidRPr="001242E7">
        <w:t xml:space="preserve">celei de a </w:t>
      </w:r>
      <w:r w:rsidR="00B27D8B">
        <w:t>treia</w:t>
      </w:r>
      <w:r w:rsidR="00F10CF1" w:rsidRPr="001242E7">
        <w:t xml:space="preserve"> ediții a </w:t>
      </w:r>
      <w:r w:rsidRPr="001242E7">
        <w:t xml:space="preserve">programului </w:t>
      </w:r>
      <w:r w:rsidR="00B27D8B">
        <w:t>de schimb AIAKOS, un grup alcătuit din 28</w:t>
      </w:r>
      <w:r w:rsidRPr="001242E7">
        <w:t xml:space="preserve"> de viitori</w:t>
      </w:r>
      <w:r w:rsidR="00B27D8B">
        <w:t xml:space="preserve"> judecători și procurori și un formator,</w:t>
      </w:r>
      <w:r w:rsidRPr="001242E7">
        <w:t xml:space="preserve"> provenind din următoarele state membre ale Uniunii Europene: Belgia, Cehia, </w:t>
      </w:r>
      <w:r w:rsidR="00B27D8B">
        <w:t xml:space="preserve">Croația, Finlanda, Franța, </w:t>
      </w:r>
      <w:r w:rsidRPr="001242E7">
        <w:t>Germania, Po</w:t>
      </w:r>
      <w:r w:rsidR="00B27D8B">
        <w:t>rtugalia</w:t>
      </w:r>
      <w:r w:rsidRPr="001242E7">
        <w:t>, S</w:t>
      </w:r>
      <w:r w:rsidR="00B27D8B">
        <w:t>lovacia</w:t>
      </w:r>
      <w:r w:rsidRPr="001242E7">
        <w:t xml:space="preserve">, </w:t>
      </w:r>
      <w:r w:rsidR="00B27D8B">
        <w:t xml:space="preserve">Slovenia, </w:t>
      </w:r>
      <w:r w:rsidRPr="001242E7">
        <w:t xml:space="preserve">Ungaria. </w:t>
      </w:r>
    </w:p>
    <w:p w:rsidR="00F10CF1" w:rsidRPr="001242E7" w:rsidRDefault="00F10CF1" w:rsidP="003C733E">
      <w:pPr>
        <w:spacing w:line="276" w:lineRule="auto"/>
        <w:jc w:val="both"/>
      </w:pPr>
    </w:p>
    <w:p w:rsidR="00F10CF1" w:rsidRPr="001242E7" w:rsidRDefault="00427A69" w:rsidP="003C733E">
      <w:pPr>
        <w:spacing w:line="276" w:lineRule="auto"/>
        <w:jc w:val="both"/>
      </w:pPr>
      <w:r w:rsidRPr="001242E7">
        <w:t>AIAKOS este un program organizat anual de către Rețeaua Europeană de Formare Judiciară (REFJ/EJTN), având ca obiective schimbul de experiență, idei, informații între vii</w:t>
      </w:r>
      <w:r w:rsidR="00F10CF1" w:rsidRPr="001242E7">
        <w:t xml:space="preserve">tori </w:t>
      </w:r>
      <w:r w:rsidRPr="001242E7">
        <w:t>judecători și procurori europeni</w:t>
      </w:r>
      <w:r w:rsidR="00F10CF1" w:rsidRPr="001242E7">
        <w:t>/tineri judecători și procurori europeni</w:t>
      </w:r>
      <w:r w:rsidRPr="001242E7">
        <w:t>,</w:t>
      </w:r>
      <w:r w:rsidR="00F10CF1" w:rsidRPr="001242E7">
        <w:t xml:space="preserve"> aflați în primii ani de activitate,</w:t>
      </w:r>
      <w:r w:rsidRPr="001242E7">
        <w:t xml:space="preserve"> conștientizarea dimensiunii europene a profesiei pe care urmează să o exercite, precum și facilitarea înțelegerii diferitelor culturi și sisteme judiciare existente la nivelul Uniunii Europene.</w:t>
      </w:r>
      <w:r w:rsidR="00F10CF1" w:rsidRPr="001242E7">
        <w:t xml:space="preserve"> </w:t>
      </w:r>
      <w:r w:rsidR="0005288D">
        <w:t>Ediția-pilot</w:t>
      </w:r>
      <w:r w:rsidR="00F10CF1" w:rsidRPr="001242E7">
        <w:t xml:space="preserve"> a programului</w:t>
      </w:r>
      <w:r w:rsidR="001242E7" w:rsidRPr="001242E7">
        <w:t>, în care s-a implicat activ și Institutul Național al Magistraturii, a avut loc î</w:t>
      </w:r>
      <w:r w:rsidR="00F10CF1" w:rsidRPr="001242E7">
        <w:t>n anul 2013</w:t>
      </w:r>
      <w:r w:rsidR="001242E7" w:rsidRPr="001242E7">
        <w:t>.</w:t>
      </w:r>
      <w:r w:rsidR="00F10CF1" w:rsidRPr="001242E7">
        <w:t xml:space="preserve"> </w:t>
      </w:r>
    </w:p>
    <w:p w:rsidR="00427A69" w:rsidRPr="001242E7" w:rsidRDefault="00427A69" w:rsidP="003C733E">
      <w:pPr>
        <w:spacing w:line="276" w:lineRule="auto"/>
      </w:pPr>
    </w:p>
    <w:p w:rsidR="00427A69" w:rsidRPr="001242E7" w:rsidRDefault="00F10CF1" w:rsidP="003C733E">
      <w:pPr>
        <w:spacing w:line="276" w:lineRule="auto"/>
        <w:jc w:val="both"/>
      </w:pPr>
      <w:r w:rsidRPr="001242E7">
        <w:t xml:space="preserve">Programul </w:t>
      </w:r>
      <w:r w:rsidR="00427A69" w:rsidRPr="001242E7">
        <w:t xml:space="preserve">AIAKOS </w:t>
      </w:r>
      <w:r w:rsidRPr="001242E7">
        <w:t>se desfășoară pe durata a două săptămâni și presupune, pe de o parte, găzduirea în propria țară</w:t>
      </w:r>
      <w:r w:rsidR="00427A69" w:rsidRPr="001242E7">
        <w:t xml:space="preserve"> </w:t>
      </w:r>
      <w:r w:rsidRPr="001242E7">
        <w:t xml:space="preserve">a unor colegi europeni și, pe de altă parte, deplasarea </w:t>
      </w:r>
      <w:r w:rsidR="00427A69" w:rsidRPr="001242E7">
        <w:t>în state</w:t>
      </w:r>
      <w:r w:rsidRPr="001242E7">
        <w:t>le</w:t>
      </w:r>
      <w:r w:rsidR="00427A69" w:rsidRPr="001242E7">
        <w:t xml:space="preserve"> partenere</w:t>
      </w:r>
      <w:r w:rsidRPr="001242E7">
        <w:t xml:space="preserve"> în program, membre ale Uniunii Europene</w:t>
      </w:r>
      <w:r w:rsidR="00427A69" w:rsidRPr="001242E7">
        <w:t>.</w:t>
      </w:r>
    </w:p>
    <w:p w:rsidR="00427A69" w:rsidRPr="001242E7" w:rsidRDefault="00427A69" w:rsidP="003C733E">
      <w:pPr>
        <w:spacing w:line="276" w:lineRule="auto"/>
      </w:pPr>
    </w:p>
    <w:p w:rsidR="005806F3" w:rsidRDefault="00B15CCE" w:rsidP="003C733E">
      <w:pPr>
        <w:spacing w:line="276" w:lineRule="auto"/>
        <w:jc w:val="both"/>
      </w:pPr>
      <w:r w:rsidRPr="005806F3">
        <w:t xml:space="preserve">Astfel, </w:t>
      </w:r>
      <w:bookmarkStart w:id="0" w:name="_GoBack"/>
      <w:r w:rsidRPr="005806F3">
        <w:t>î</w:t>
      </w:r>
      <w:r w:rsidR="00427A69" w:rsidRPr="005806F3">
        <w:t xml:space="preserve">n perioada </w:t>
      </w:r>
      <w:r w:rsidR="00B27D8B">
        <w:t>30 noiembrie</w:t>
      </w:r>
      <w:r w:rsidR="00427A69" w:rsidRPr="005806F3">
        <w:t xml:space="preserve"> – </w:t>
      </w:r>
      <w:r w:rsidR="00B27D8B">
        <w:t>4</w:t>
      </w:r>
      <w:r w:rsidR="00427A69" w:rsidRPr="005806F3">
        <w:t xml:space="preserve"> </w:t>
      </w:r>
      <w:r w:rsidR="00B27D8B">
        <w:t>decembrie 2015</w:t>
      </w:r>
      <w:r w:rsidR="00427A69" w:rsidRPr="005806F3">
        <w:t xml:space="preserve">, un număr de 30 de auditori de justiție români </w:t>
      </w:r>
      <w:r w:rsidR="00B27D8B">
        <w:t>vor partic</w:t>
      </w:r>
      <w:r w:rsidR="002631DC">
        <w:t>i</w:t>
      </w:r>
      <w:r w:rsidR="00B27D8B">
        <w:t>pa</w:t>
      </w:r>
      <w:r w:rsidR="0005288D" w:rsidRPr="005806F3">
        <w:t xml:space="preserve"> la programul de schimb organizat</w:t>
      </w:r>
      <w:r w:rsidR="00427A69" w:rsidRPr="005806F3">
        <w:t xml:space="preserve"> </w:t>
      </w:r>
      <w:r w:rsidR="0005288D" w:rsidRPr="005806F3">
        <w:t>de</w:t>
      </w:r>
      <w:r w:rsidR="00427A69" w:rsidRPr="005806F3">
        <w:t xml:space="preserve"> </w:t>
      </w:r>
      <w:r w:rsidR="0005288D" w:rsidRPr="005806F3">
        <w:t>școli/</w:t>
      </w:r>
      <w:r w:rsidR="005806F3">
        <w:t xml:space="preserve">instituții </w:t>
      </w:r>
      <w:r w:rsidR="0005288D" w:rsidRPr="005806F3">
        <w:t>europene responsabile cu formarea judecătorilor</w:t>
      </w:r>
      <w:r w:rsidR="005806F3">
        <w:t xml:space="preserve"> și procurorilor</w:t>
      </w:r>
      <w:r w:rsidR="003C733E">
        <w:t>, implicate în program.</w:t>
      </w:r>
      <w:r w:rsidR="00427A69" w:rsidRPr="005806F3">
        <w:t xml:space="preserve"> </w:t>
      </w:r>
    </w:p>
    <w:bookmarkEnd w:id="0"/>
    <w:p w:rsidR="005806F3" w:rsidRDefault="005806F3" w:rsidP="003C733E">
      <w:pPr>
        <w:spacing w:line="276" w:lineRule="auto"/>
        <w:jc w:val="both"/>
      </w:pPr>
    </w:p>
    <w:p w:rsidR="00427A69" w:rsidRPr="005806F3" w:rsidRDefault="005806F3" w:rsidP="003C733E">
      <w:pPr>
        <w:spacing w:line="276" w:lineRule="auto"/>
        <w:jc w:val="both"/>
      </w:pPr>
      <w:r>
        <w:t>Cei 30 de</w:t>
      </w:r>
      <w:r w:rsidR="00427A69" w:rsidRPr="005806F3">
        <w:t xml:space="preserve"> auditori </w:t>
      </w:r>
      <w:r w:rsidR="00B15CCE" w:rsidRPr="005806F3">
        <w:t xml:space="preserve">de justiție </w:t>
      </w:r>
      <w:r w:rsidRPr="005806F3">
        <w:t xml:space="preserve">români </w:t>
      </w:r>
      <w:r w:rsidR="00427A69" w:rsidRPr="005806F3">
        <w:t xml:space="preserve">au participat </w:t>
      </w:r>
      <w:r w:rsidR="0005288D" w:rsidRPr="005806F3">
        <w:t>alături de colegii străini</w:t>
      </w:r>
      <w:r>
        <w:t xml:space="preserve"> și</w:t>
      </w:r>
      <w:r w:rsidR="0005288D" w:rsidRPr="005806F3">
        <w:t xml:space="preserve"> </w:t>
      </w:r>
      <w:r w:rsidR="00427A69" w:rsidRPr="005806F3">
        <w:t>la program</w:t>
      </w:r>
      <w:r w:rsidR="00B15CCE" w:rsidRPr="005806F3">
        <w:t>ul derulat</w:t>
      </w:r>
      <w:r w:rsidR="00427A69" w:rsidRPr="005806F3">
        <w:t xml:space="preserve"> pe parcursul săptămânii </w:t>
      </w:r>
      <w:r w:rsidR="00B27D8B">
        <w:t>16</w:t>
      </w:r>
      <w:r w:rsidR="00427A69" w:rsidRPr="005806F3">
        <w:t xml:space="preserve"> – </w:t>
      </w:r>
      <w:r w:rsidR="00B27D8B">
        <w:t>20 noiembrie</w:t>
      </w:r>
      <w:r w:rsidR="00B15CCE" w:rsidRPr="005806F3">
        <w:t xml:space="preserve"> 2015, când INM a avut calit</w:t>
      </w:r>
      <w:r w:rsidR="00427A69" w:rsidRPr="005806F3">
        <w:t>a</w:t>
      </w:r>
      <w:r w:rsidR="00B15CCE" w:rsidRPr="005806F3">
        <w:t>t</w:t>
      </w:r>
      <w:r w:rsidR="00427A69" w:rsidRPr="005806F3">
        <w:t>ea de gazdă.</w:t>
      </w:r>
    </w:p>
    <w:p w:rsidR="00427A69" w:rsidRPr="005806F3" w:rsidRDefault="00427A69" w:rsidP="003C733E">
      <w:pPr>
        <w:spacing w:line="276" w:lineRule="auto"/>
        <w:jc w:val="both"/>
      </w:pPr>
    </w:p>
    <w:p w:rsidR="00427A69" w:rsidRPr="001242E7" w:rsidRDefault="00427A69" w:rsidP="003C733E">
      <w:pPr>
        <w:spacing w:line="276" w:lineRule="auto"/>
        <w:jc w:val="both"/>
      </w:pPr>
      <w:r w:rsidRPr="005806F3">
        <w:t xml:space="preserve">Pe </w:t>
      </w:r>
      <w:r w:rsidR="00F10CF1" w:rsidRPr="005806F3">
        <w:t>durata</w:t>
      </w:r>
      <w:r w:rsidRPr="005806F3">
        <w:t xml:space="preserve"> celor cinci zile au fost organizate activități având drept scop</w:t>
      </w:r>
      <w:r w:rsidRPr="001242E7">
        <w:t xml:space="preserve"> cunoașterea sistemelor judiciare ale statelor reprezentate, procese simulate în domeniul cooperării judiciare internaționale în materie civilă și penală, </w:t>
      </w:r>
      <w:r w:rsidR="006B10F6">
        <w:t xml:space="preserve">dezbateri având ca temă investigarea unor tipuri de infracțiuni, </w:t>
      </w:r>
      <w:r w:rsidRPr="001242E7">
        <w:t xml:space="preserve">activități având </w:t>
      </w:r>
      <w:r w:rsidR="00B15CCE" w:rsidRPr="001242E7">
        <w:t>drept</w:t>
      </w:r>
      <w:r w:rsidRPr="001242E7">
        <w:t xml:space="preserve"> scop dezvoltarea abilităților non-jurid</w:t>
      </w:r>
      <w:r w:rsidR="005806F3">
        <w:t xml:space="preserve">ice, relevante pentru profesie, precum </w:t>
      </w:r>
      <w:r w:rsidR="006B10F6">
        <w:t xml:space="preserve">un atelier de lucru și dezbateri </w:t>
      </w:r>
      <w:r w:rsidR="005806F3">
        <w:t>pe teme de etică și deontologie</w:t>
      </w:r>
      <w:r w:rsidR="006B10F6">
        <w:t xml:space="preserve">, </w:t>
      </w:r>
      <w:r w:rsidRPr="001242E7">
        <w:t xml:space="preserve">dar și vizite în cadrul </w:t>
      </w:r>
      <w:r w:rsidR="00B27D8B">
        <w:t xml:space="preserve">Tribunalului București și Curții de Apel București, </w:t>
      </w:r>
      <w:r w:rsidR="00B27D8B" w:rsidRPr="001242E7">
        <w:t xml:space="preserve">unde, pe lângă prezentarea </w:t>
      </w:r>
      <w:r w:rsidR="00B27D8B">
        <w:t>celor două instanțe</w:t>
      </w:r>
      <w:r w:rsidR="00B27D8B" w:rsidRPr="001242E7">
        <w:t>, participanților le-a fost oferită și posibilitatea de a asista la ședințe de judecată</w:t>
      </w:r>
      <w:r w:rsidR="00B27D8B">
        <w:t xml:space="preserve">. Totodată, au fost efectuate vizite la Parchetul de pe lângă Înalta Curte de Casație și Justiție și la Institutul Național de Criminalistică din cadrul Inspectoratului General al Poliției Române. </w:t>
      </w:r>
      <w:r w:rsidR="00B27D8B" w:rsidRPr="001242E7">
        <w:t xml:space="preserve"> </w:t>
      </w:r>
    </w:p>
    <w:p w:rsidR="00427A69" w:rsidRPr="001242E7" w:rsidRDefault="00427A69" w:rsidP="003C733E">
      <w:pPr>
        <w:spacing w:line="276" w:lineRule="auto"/>
        <w:jc w:val="both"/>
      </w:pPr>
    </w:p>
    <w:p w:rsidR="00427A69" w:rsidRPr="001242E7" w:rsidRDefault="00427A69" w:rsidP="003C733E">
      <w:pPr>
        <w:spacing w:line="276" w:lineRule="auto"/>
        <w:jc w:val="both"/>
      </w:pPr>
      <w:r w:rsidRPr="001242E7">
        <w:t xml:space="preserve">Metoda preponderentă de </w:t>
      </w:r>
      <w:r w:rsidR="00B15CCE" w:rsidRPr="001242E7">
        <w:t>formare</w:t>
      </w:r>
      <w:r w:rsidRPr="001242E7">
        <w:t xml:space="preserve">, pe toată durata programului, a constituit-o lucrul în echipe mixte, fapt ce a reprezentat o garanție în plus a atingerii obiectivelor urmărite. Limba în care s-au </w:t>
      </w:r>
      <w:r w:rsidR="00B15CCE" w:rsidRPr="001242E7">
        <w:t>desfășurat</w:t>
      </w:r>
      <w:r w:rsidRPr="001242E7">
        <w:t xml:space="preserve"> toate activitățile a fost limba engleză, </w:t>
      </w:r>
      <w:r w:rsidR="00B15CCE" w:rsidRPr="001242E7">
        <w:t>fapt care a contribu</w:t>
      </w:r>
      <w:r w:rsidR="00F10CF1" w:rsidRPr="001242E7">
        <w:t>i</w:t>
      </w:r>
      <w:r w:rsidR="00B15CCE" w:rsidRPr="001242E7">
        <w:t xml:space="preserve">t </w:t>
      </w:r>
      <w:r w:rsidRPr="001242E7">
        <w:t xml:space="preserve">și la dezvoltarea abilităților lingvistice ale participanților. </w:t>
      </w:r>
    </w:p>
    <w:p w:rsidR="00427A69" w:rsidRPr="001242E7" w:rsidRDefault="00427A69" w:rsidP="003C733E">
      <w:pPr>
        <w:spacing w:line="276" w:lineRule="auto"/>
        <w:jc w:val="both"/>
      </w:pPr>
    </w:p>
    <w:p w:rsidR="003C733E" w:rsidRDefault="00427A69" w:rsidP="003C733E">
      <w:pPr>
        <w:spacing w:line="276" w:lineRule="auto"/>
        <w:jc w:val="both"/>
      </w:pPr>
      <w:r w:rsidRPr="001242E7">
        <w:t xml:space="preserve">Concluziile rezultate în urma discuțiilor purtate cu toți participanții la încheierea programului </w:t>
      </w:r>
      <w:r w:rsidR="00B15CCE" w:rsidRPr="001242E7">
        <w:t>cu privire la conținutul, structura și modul</w:t>
      </w:r>
      <w:r w:rsidRPr="001242E7">
        <w:t xml:space="preserve"> </w:t>
      </w:r>
      <w:r w:rsidR="00B15CCE" w:rsidRPr="001242E7">
        <w:t>d</w:t>
      </w:r>
      <w:r w:rsidRPr="001242E7">
        <w:t>e implementare a acestuia au reflectat un impact general pozitiv, fiind formulate</w:t>
      </w:r>
      <w:r w:rsidR="00B15CCE" w:rsidRPr="001242E7">
        <w:t>, totodată,</w:t>
      </w:r>
      <w:r w:rsidRPr="001242E7">
        <w:t xml:space="preserve"> și </w:t>
      </w:r>
      <w:r w:rsidR="00B15CCE" w:rsidRPr="001242E7">
        <w:t xml:space="preserve">unele </w:t>
      </w:r>
      <w:r w:rsidRPr="001242E7">
        <w:t xml:space="preserve">propuneri în ceea ce privește organizarea </w:t>
      </w:r>
      <w:r w:rsidR="00B15CCE" w:rsidRPr="001242E7">
        <w:t>activităților pentru edițiile</w:t>
      </w:r>
      <w:r w:rsidRPr="001242E7">
        <w:t xml:space="preserve"> viitoare.</w:t>
      </w:r>
    </w:p>
    <w:p w:rsidR="003C733E" w:rsidRDefault="003C733E" w:rsidP="003C733E">
      <w:pPr>
        <w:spacing w:line="276" w:lineRule="auto"/>
        <w:jc w:val="both"/>
      </w:pPr>
    </w:p>
    <w:p w:rsidR="003C733E" w:rsidRDefault="003C733E" w:rsidP="003C733E">
      <w:pPr>
        <w:spacing w:line="276" w:lineRule="auto"/>
        <w:jc w:val="both"/>
      </w:pPr>
      <w:r>
        <w:t xml:space="preserve">Agenda programului săptămânii 16 – 20 noiembrie 2015 poate fi consultată prin accesarea secțiunii </w:t>
      </w:r>
      <w:r w:rsidRPr="003C733E">
        <w:rPr>
          <w:i/>
        </w:rPr>
        <w:t>Formarea inițială/Proiecte extracurriculare</w:t>
      </w:r>
      <w:r>
        <w:t xml:space="preserve"> a site-ului INM:</w:t>
      </w:r>
    </w:p>
    <w:p w:rsidR="003C733E" w:rsidRPr="001242E7" w:rsidRDefault="003C733E" w:rsidP="003C733E">
      <w:pPr>
        <w:spacing w:line="276" w:lineRule="auto"/>
        <w:jc w:val="both"/>
        <w:rPr>
          <w:b/>
          <w:i/>
        </w:rPr>
      </w:pPr>
      <w:r w:rsidRPr="003C733E">
        <w:t>http://www.inm-lex.ro/displaypage.php?p=47</w:t>
      </w:r>
      <w:r>
        <w:t>.</w:t>
      </w:r>
    </w:p>
    <w:p w:rsidR="00B15CCE" w:rsidRPr="001242E7" w:rsidRDefault="00B15CCE" w:rsidP="00CE3D4B">
      <w:pPr>
        <w:jc w:val="right"/>
        <w:rPr>
          <w:b/>
        </w:rPr>
      </w:pPr>
    </w:p>
    <w:p w:rsidR="003C733E" w:rsidRDefault="003C733E" w:rsidP="00CE3D4B">
      <w:pPr>
        <w:jc w:val="right"/>
        <w:rPr>
          <w:b/>
        </w:rPr>
      </w:pPr>
    </w:p>
    <w:p w:rsidR="003C733E" w:rsidRDefault="003C733E" w:rsidP="00CE3D4B">
      <w:pPr>
        <w:jc w:val="right"/>
        <w:rPr>
          <w:b/>
        </w:rPr>
      </w:pPr>
    </w:p>
    <w:p w:rsidR="003C733E" w:rsidRDefault="003C733E" w:rsidP="00CE3D4B">
      <w:pPr>
        <w:jc w:val="right"/>
        <w:rPr>
          <w:b/>
        </w:rPr>
      </w:pPr>
    </w:p>
    <w:p w:rsidR="003C733E" w:rsidRDefault="003C733E" w:rsidP="00CE3D4B">
      <w:pPr>
        <w:jc w:val="right"/>
        <w:rPr>
          <w:b/>
        </w:rPr>
      </w:pPr>
    </w:p>
    <w:p w:rsidR="001242E7" w:rsidRPr="003C733E" w:rsidRDefault="003C733E" w:rsidP="003C733E">
      <w:pPr>
        <w:spacing w:line="360" w:lineRule="auto"/>
        <w:jc w:val="right"/>
        <w:rPr>
          <w:b/>
          <w:i/>
        </w:rPr>
      </w:pPr>
      <w:r w:rsidRPr="003C733E">
        <w:rPr>
          <w:b/>
          <w:i/>
        </w:rPr>
        <w:t>Institutul Național al Magistraturii</w:t>
      </w:r>
    </w:p>
    <w:p w:rsidR="003C733E" w:rsidRPr="003C733E" w:rsidRDefault="003C733E" w:rsidP="003C733E">
      <w:pPr>
        <w:spacing w:line="360" w:lineRule="auto"/>
        <w:jc w:val="right"/>
        <w:rPr>
          <w:b/>
          <w:i/>
        </w:rPr>
      </w:pPr>
      <w:r w:rsidRPr="003C733E">
        <w:rPr>
          <w:b/>
          <w:i/>
        </w:rPr>
        <w:t>23 noiembrie 2015</w:t>
      </w:r>
    </w:p>
    <w:p w:rsidR="005806F3" w:rsidRPr="003C733E" w:rsidRDefault="005806F3" w:rsidP="003C733E">
      <w:pPr>
        <w:spacing w:line="360" w:lineRule="auto"/>
        <w:jc w:val="right"/>
        <w:rPr>
          <w:b/>
          <w:i/>
        </w:rPr>
      </w:pPr>
    </w:p>
    <w:p w:rsidR="005806F3" w:rsidRDefault="005806F3" w:rsidP="00CE3D4B">
      <w:pPr>
        <w:jc w:val="right"/>
        <w:rPr>
          <w:b/>
        </w:rPr>
      </w:pPr>
    </w:p>
    <w:p w:rsidR="005806F3" w:rsidRDefault="005806F3" w:rsidP="00CE3D4B">
      <w:pPr>
        <w:jc w:val="right"/>
        <w:rPr>
          <w:b/>
        </w:rPr>
      </w:pPr>
    </w:p>
    <w:p w:rsidR="005806F3" w:rsidRDefault="005806F3" w:rsidP="00CE3D4B">
      <w:pPr>
        <w:jc w:val="right"/>
        <w:rPr>
          <w:b/>
        </w:rPr>
      </w:pPr>
    </w:p>
    <w:p w:rsidR="005806F3" w:rsidRDefault="005806F3" w:rsidP="00CE3D4B">
      <w:pPr>
        <w:jc w:val="right"/>
        <w:rPr>
          <w:b/>
        </w:rPr>
      </w:pPr>
    </w:p>
    <w:p w:rsidR="005806F3" w:rsidRDefault="005806F3" w:rsidP="00CE3D4B">
      <w:pPr>
        <w:jc w:val="right"/>
        <w:rPr>
          <w:b/>
        </w:rPr>
      </w:pPr>
    </w:p>
    <w:p w:rsidR="005806F3" w:rsidRDefault="005806F3" w:rsidP="00CE3D4B">
      <w:pPr>
        <w:jc w:val="right"/>
        <w:rPr>
          <w:b/>
        </w:rPr>
      </w:pPr>
    </w:p>
    <w:sectPr w:rsidR="0058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27D"/>
    <w:multiLevelType w:val="hybridMultilevel"/>
    <w:tmpl w:val="173CC33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D62"/>
    <w:multiLevelType w:val="multilevel"/>
    <w:tmpl w:val="19CE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2A0349"/>
    <w:multiLevelType w:val="hybridMultilevel"/>
    <w:tmpl w:val="65B41B9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F5F8F"/>
    <w:multiLevelType w:val="hybridMultilevel"/>
    <w:tmpl w:val="9B80E9D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28A3"/>
    <w:multiLevelType w:val="hybridMultilevel"/>
    <w:tmpl w:val="4B78B3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31139"/>
    <w:multiLevelType w:val="hybridMultilevel"/>
    <w:tmpl w:val="D5629DF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5A7D"/>
    <w:multiLevelType w:val="hybridMultilevel"/>
    <w:tmpl w:val="19CE7A18"/>
    <w:lvl w:ilvl="0" w:tplc="7C08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D35A6"/>
    <w:multiLevelType w:val="hybridMultilevel"/>
    <w:tmpl w:val="B3B0E8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19"/>
    <w:rsid w:val="0005288D"/>
    <w:rsid w:val="000F7E80"/>
    <w:rsid w:val="001242E7"/>
    <w:rsid w:val="00162F06"/>
    <w:rsid w:val="00176C4C"/>
    <w:rsid w:val="00187CC7"/>
    <w:rsid w:val="002328B8"/>
    <w:rsid w:val="002631DC"/>
    <w:rsid w:val="003624C9"/>
    <w:rsid w:val="003C733E"/>
    <w:rsid w:val="00422206"/>
    <w:rsid w:val="00427A69"/>
    <w:rsid w:val="00477A67"/>
    <w:rsid w:val="004A3DB3"/>
    <w:rsid w:val="00536808"/>
    <w:rsid w:val="005806F3"/>
    <w:rsid w:val="00607A4B"/>
    <w:rsid w:val="006B10F6"/>
    <w:rsid w:val="00765BB1"/>
    <w:rsid w:val="008A5388"/>
    <w:rsid w:val="008B0367"/>
    <w:rsid w:val="008B4C7C"/>
    <w:rsid w:val="00943171"/>
    <w:rsid w:val="00A44D98"/>
    <w:rsid w:val="00A611F3"/>
    <w:rsid w:val="00B15CCE"/>
    <w:rsid w:val="00B27D8B"/>
    <w:rsid w:val="00C413F6"/>
    <w:rsid w:val="00CE3D4B"/>
    <w:rsid w:val="00D7026D"/>
    <w:rsid w:val="00DC7334"/>
    <w:rsid w:val="00E1737E"/>
    <w:rsid w:val="00EE4E19"/>
    <w:rsid w:val="00F10CF1"/>
    <w:rsid w:val="00F3578E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6021-F760-4605-85A6-8046B35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stiltext">
    <w:name w:val="stiltext"/>
    <w:basedOn w:val="Normal"/>
    <w:rsid w:val="00EE4E19"/>
    <w:pPr>
      <w:spacing w:before="100" w:beforeAutospacing="1" w:after="100" w:afterAutospacing="1"/>
      <w:ind w:firstLine="376"/>
      <w:jc w:val="both"/>
    </w:pPr>
    <w:rPr>
      <w:rFonts w:ascii="Arial" w:hAnsi="Arial" w:cs="Arial"/>
      <w:color w:val="062B7D"/>
    </w:rPr>
  </w:style>
  <w:style w:type="table" w:styleId="Tabelgril">
    <w:name w:val="Table Grid"/>
    <w:basedOn w:val="TabelNormal"/>
    <w:rsid w:val="00EE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qFormat/>
    <w:rsid w:val="00EE4E19"/>
    <w:rPr>
      <w:b/>
      <w:bCs/>
    </w:rPr>
  </w:style>
  <w:style w:type="paragraph" w:styleId="Indentcorptext">
    <w:name w:val="Body Text Indent"/>
    <w:basedOn w:val="Normal"/>
    <w:rsid w:val="00DC7334"/>
    <w:pPr>
      <w:suppressAutoHyphens/>
      <w:ind w:firstLine="708"/>
      <w:jc w:val="both"/>
    </w:pPr>
    <w:rPr>
      <w:rFonts w:ascii="Arial" w:hAnsi="Arial" w:cs="Arial"/>
      <w:sz w:val="18"/>
      <w:lang w:val="en-GB" w:eastAsia="ar-SA"/>
    </w:rPr>
  </w:style>
  <w:style w:type="character" w:customStyle="1" w:styleId="apple-converted-space">
    <w:name w:val="apple-converted-space"/>
    <w:basedOn w:val="Fontdeparagrafimplicit"/>
    <w:rsid w:val="0058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În perioada 16 - 20 mai 2012, la invitaţia Curţii Constituţionale a României şi a Înaltei Curţi de Casaţie şi Justiţie, o delegaţie a Curţii de Justiţie a Uniunii Europene, condusă de domnul Vassilios SKOURIS, preşedinte, şi alcătuită din 12 judecători,</vt:lpstr>
      <vt:lpstr>În perioada 16 - 20 mai 2012, la invitaţia Curţii Constituţionale a României şi a Înaltei Curţi de Casaţie şi Justiţie, o delegaţie a Curţii de Justiţie a Uniunii Europene, condusă de domnul Vassilios SKOURIS, preşedinte, şi alcătuită din 12 judecători, </vt:lpstr>
    </vt:vector>
  </TitlesOfParts>
  <Company>Inst. Nat. al Magistraturii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 perioada 16 - 20 mai 2012, la invitaţia Curţii Constituţionale a României şi a Înaltei Curţi de Casaţie şi Justiţie, o delegaţie a Curţii de Justiţie a Uniunii Europene, condusă de domnul Vassilios SKOURIS, preşedinte, şi alcătuită din 12 judecători,</dc:title>
  <dc:subject/>
  <dc:creator>andra.ghebri</dc:creator>
  <cp:keywords/>
  <dc:description/>
  <cp:lastModifiedBy>Laurentiu Lungu</cp:lastModifiedBy>
  <cp:revision>2</cp:revision>
  <cp:lastPrinted>2012-05-22T13:56:00Z</cp:lastPrinted>
  <dcterms:created xsi:type="dcterms:W3CDTF">2015-11-23T20:15:00Z</dcterms:created>
  <dcterms:modified xsi:type="dcterms:W3CDTF">2015-11-23T20:15:00Z</dcterms:modified>
</cp:coreProperties>
</file>