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71" w:rsidRDefault="00D27B71" w:rsidP="00B73E4C">
      <w:pPr>
        <w:spacing w:before="60" w:after="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27B71" w:rsidRPr="00B73E4C" w:rsidRDefault="00B73E4C" w:rsidP="00B73E4C">
      <w:pPr>
        <w:spacing w:before="60" w:after="60"/>
        <w:jc w:val="right"/>
        <w:rPr>
          <w:rFonts w:ascii="Arial" w:hAnsi="Arial" w:cs="Arial"/>
          <w:b/>
          <w:i/>
        </w:rPr>
      </w:pPr>
      <w:r w:rsidRPr="00B73E4C">
        <w:rPr>
          <w:rFonts w:ascii="Arial" w:hAnsi="Arial" w:cs="Arial"/>
          <w:b/>
          <w:i/>
        </w:rPr>
        <w:t>Proiect</w:t>
      </w:r>
    </w:p>
    <w:p w:rsidR="00B472E8" w:rsidRDefault="00B472E8" w:rsidP="00B73E4C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</w:p>
    <w:p w:rsidR="00C22B01" w:rsidRDefault="00C22B01" w:rsidP="00C22B01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</w:p>
    <w:p w:rsidR="00B73E4C" w:rsidRDefault="001D60FE" w:rsidP="00C22B01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D50488">
        <w:rPr>
          <w:rFonts w:ascii="Arial" w:hAnsi="Arial" w:cs="Arial"/>
          <w:b/>
          <w:sz w:val="24"/>
          <w:szCs w:val="24"/>
        </w:rPr>
        <w:t>GUVERNUL ROMÂNIEI</w:t>
      </w:r>
    </w:p>
    <w:p w:rsidR="00C22B01" w:rsidRDefault="00C22B01" w:rsidP="00C22B01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</w:p>
    <w:p w:rsidR="00C22B01" w:rsidRPr="00D50488" w:rsidRDefault="00C22B01" w:rsidP="00C22B01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</w:p>
    <w:p w:rsidR="00925033" w:rsidRPr="00B73E4C" w:rsidRDefault="001D60FE" w:rsidP="00B73E4C">
      <w:pPr>
        <w:spacing w:before="60" w:after="60"/>
        <w:jc w:val="center"/>
        <w:rPr>
          <w:rStyle w:val="rvts7"/>
          <w:rFonts w:ascii="Arial" w:hAnsi="Arial" w:cs="Arial"/>
          <w:sz w:val="25"/>
          <w:szCs w:val="25"/>
        </w:rPr>
      </w:pPr>
      <w:r w:rsidRPr="00D50488">
        <w:rPr>
          <w:rFonts w:ascii="Arial" w:hAnsi="Arial" w:cs="Arial"/>
          <w:b/>
          <w:sz w:val="24"/>
          <w:szCs w:val="24"/>
        </w:rPr>
        <w:t>HOTĂRÂRE</w:t>
      </w:r>
      <w:r w:rsidR="00445962">
        <w:rPr>
          <w:rFonts w:ascii="Arial" w:hAnsi="Arial" w:cs="Arial"/>
          <w:b/>
          <w:sz w:val="24"/>
          <w:szCs w:val="24"/>
        </w:rPr>
        <w:t xml:space="preserve"> privind înfiinţarea pe lângă Oficiul Naţional al Registrului Comerţul</w:t>
      </w:r>
      <w:r w:rsidR="007A26E0">
        <w:rPr>
          <w:rFonts w:ascii="Arial" w:hAnsi="Arial" w:cs="Arial"/>
          <w:b/>
          <w:sz w:val="24"/>
          <w:szCs w:val="24"/>
        </w:rPr>
        <w:t>ui a unor activităţi finanţate i</w:t>
      </w:r>
      <w:r w:rsidR="00445962">
        <w:rPr>
          <w:rFonts w:ascii="Arial" w:hAnsi="Arial" w:cs="Arial"/>
          <w:b/>
          <w:sz w:val="24"/>
          <w:szCs w:val="24"/>
        </w:rPr>
        <w:t>ntegral din venituri proprii</w:t>
      </w:r>
      <w:bookmarkStart w:id="1" w:name="3213409"/>
      <w:bookmarkStart w:id="2" w:name="3156800"/>
      <w:bookmarkEnd w:id="1"/>
      <w:bookmarkEnd w:id="2"/>
    </w:p>
    <w:p w:rsidR="00C22B01" w:rsidRDefault="00C22B01" w:rsidP="00B73E4C">
      <w:pPr>
        <w:pStyle w:val="NormalWeb"/>
        <w:shd w:val="clear" w:color="auto" w:fill="FFFFFF"/>
        <w:ind w:firstLine="720"/>
        <w:jc w:val="both"/>
        <w:rPr>
          <w:rStyle w:val="rvts8"/>
          <w:rFonts w:ascii="Arial" w:hAnsi="Arial" w:cs="Arial"/>
        </w:rPr>
      </w:pPr>
    </w:p>
    <w:p w:rsidR="00925033" w:rsidRPr="00B73E4C" w:rsidRDefault="00686128" w:rsidP="00B73E4C">
      <w:pPr>
        <w:pStyle w:val="NormalWeb"/>
        <w:shd w:val="clear" w:color="auto" w:fill="FFFFFF"/>
        <w:ind w:firstLine="720"/>
        <w:jc w:val="both"/>
        <w:rPr>
          <w:rFonts w:ascii="Arial" w:hAnsi="Arial" w:cs="Arial"/>
        </w:rPr>
      </w:pPr>
      <w:r w:rsidRPr="00D50488">
        <w:rPr>
          <w:rStyle w:val="rvts8"/>
          <w:rFonts w:ascii="Arial" w:hAnsi="Arial" w:cs="Arial"/>
        </w:rPr>
        <w:t>În temeiul art. 108 din Constituţia României, republica</w:t>
      </w:r>
      <w:r w:rsidR="009A6EC4" w:rsidRPr="00D50488">
        <w:rPr>
          <w:rStyle w:val="rvts8"/>
          <w:rFonts w:ascii="Arial" w:hAnsi="Arial" w:cs="Arial"/>
        </w:rPr>
        <w:t>tă</w:t>
      </w:r>
      <w:r w:rsidRPr="00D50488">
        <w:rPr>
          <w:rStyle w:val="rvts8"/>
          <w:rFonts w:ascii="Arial" w:hAnsi="Arial" w:cs="Arial"/>
        </w:rPr>
        <w:t xml:space="preserve"> şi al </w:t>
      </w:r>
      <w:hyperlink r:id="rId8" w:history="1">
        <w:r w:rsidRPr="00D50488">
          <w:rPr>
            <w:rStyle w:val="Hyperlink"/>
            <w:rFonts w:ascii="Arial" w:hAnsi="Arial" w:cs="Arial"/>
            <w:color w:val="auto"/>
            <w:u w:val="none"/>
          </w:rPr>
          <w:t>art. 67</w:t>
        </w:r>
      </w:hyperlink>
      <w:r w:rsidRPr="00D50488">
        <w:rPr>
          <w:rStyle w:val="rvts8"/>
          <w:rFonts w:ascii="Arial" w:hAnsi="Arial" w:cs="Arial"/>
        </w:rPr>
        <w:t> din Legea nr. 500/2002 privind finanţele publice, cu modificările ulterioare,</w:t>
      </w:r>
    </w:p>
    <w:p w:rsidR="00C22B01" w:rsidRDefault="009A6EC4" w:rsidP="00686128">
      <w:pPr>
        <w:pStyle w:val="NormalWeb"/>
        <w:shd w:val="clear" w:color="auto" w:fill="FFFFFF"/>
        <w:jc w:val="both"/>
        <w:rPr>
          <w:rStyle w:val="rvts8"/>
          <w:rFonts w:ascii="Arial" w:hAnsi="Arial" w:cs="Arial"/>
          <w:lang w:val="ro-RO"/>
        </w:rPr>
      </w:pPr>
      <w:r w:rsidRPr="00D50488">
        <w:rPr>
          <w:rStyle w:val="rvts8"/>
          <w:rFonts w:ascii="Arial" w:hAnsi="Arial" w:cs="Arial"/>
          <w:lang w:val="ro-RO"/>
        </w:rPr>
        <w:tab/>
      </w:r>
    </w:p>
    <w:p w:rsidR="00925033" w:rsidRPr="00D50488" w:rsidRDefault="00AA6748" w:rsidP="00C22B01">
      <w:pPr>
        <w:pStyle w:val="NormalWeb"/>
        <w:shd w:val="clear" w:color="auto" w:fill="FFFFFF"/>
        <w:ind w:firstLine="720"/>
        <w:jc w:val="both"/>
        <w:rPr>
          <w:rFonts w:ascii="Arial" w:hAnsi="Arial" w:cs="Arial"/>
          <w:b/>
          <w:lang w:val="ro-RO"/>
        </w:rPr>
      </w:pPr>
      <w:r w:rsidRPr="00D50488">
        <w:rPr>
          <w:rStyle w:val="rvts8"/>
          <w:rFonts w:ascii="Arial" w:hAnsi="Arial" w:cs="Arial"/>
          <w:b/>
          <w:lang w:val="ro-RO"/>
        </w:rPr>
        <w:t>Guvernul României adoptă prezenta hotărâre</w:t>
      </w:r>
    </w:p>
    <w:p w:rsidR="00C22B01" w:rsidRDefault="002A4E2B" w:rsidP="0068612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10"/>
          <w:rFonts w:ascii="Arial" w:hAnsi="Arial" w:cs="Arial"/>
          <w:lang w:val="ro-RO"/>
        </w:rPr>
      </w:pPr>
      <w:bookmarkStart w:id="3" w:name="3156801"/>
      <w:bookmarkEnd w:id="3"/>
      <w:r w:rsidRPr="00D50488">
        <w:rPr>
          <w:rStyle w:val="rvts10"/>
          <w:rFonts w:ascii="Arial" w:hAnsi="Arial" w:cs="Arial"/>
          <w:lang w:val="ro-RO"/>
        </w:rPr>
        <w:t xml:space="preserve">    </w:t>
      </w:r>
      <w:r w:rsidRPr="00D50488">
        <w:rPr>
          <w:rStyle w:val="rvts10"/>
          <w:rFonts w:ascii="Arial" w:hAnsi="Arial" w:cs="Arial"/>
          <w:lang w:val="ro-RO"/>
        </w:rPr>
        <w:tab/>
      </w:r>
    </w:p>
    <w:p w:rsidR="00CB5092" w:rsidRPr="007B1AB3" w:rsidRDefault="00955627" w:rsidP="007B1AB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10"/>
          <w:rFonts w:ascii="Arial" w:hAnsi="Arial" w:cs="Arial"/>
          <w:b/>
          <w:lang w:val="ro-RO"/>
        </w:rPr>
      </w:pPr>
      <w:r w:rsidRPr="00D50488">
        <w:rPr>
          <w:rStyle w:val="rvts10"/>
          <w:rFonts w:ascii="Arial" w:hAnsi="Arial" w:cs="Arial"/>
          <w:b/>
          <w:lang w:val="ro-RO"/>
        </w:rPr>
        <w:t>Art</w:t>
      </w:r>
      <w:r w:rsidR="00D55D61">
        <w:rPr>
          <w:rStyle w:val="rvts10"/>
          <w:rFonts w:ascii="Arial" w:hAnsi="Arial" w:cs="Arial"/>
          <w:b/>
          <w:lang w:val="ro-RO"/>
        </w:rPr>
        <w:t>.1</w:t>
      </w:r>
    </w:p>
    <w:p w:rsidR="00E00107" w:rsidRPr="009C0864" w:rsidRDefault="00E00107" w:rsidP="00E001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C0864">
        <w:rPr>
          <w:rFonts w:ascii="Arial" w:hAnsi="Arial" w:cs="Arial"/>
          <w:bCs/>
          <w:sz w:val="24"/>
          <w:szCs w:val="24"/>
        </w:rPr>
        <w:t xml:space="preserve">(1) </w:t>
      </w:r>
      <w:r w:rsidR="00D55D61" w:rsidRPr="009C0864">
        <w:rPr>
          <w:rFonts w:ascii="Arial" w:hAnsi="Arial" w:cs="Arial"/>
          <w:bCs/>
          <w:sz w:val="24"/>
          <w:szCs w:val="24"/>
        </w:rPr>
        <w:t>Se aprobă înfiinţarea pe lângă Oficiul Naţional al Registrului Comerţului a următoarelor activităţi finanţate întegral din venituri proprii :</w:t>
      </w:r>
    </w:p>
    <w:p w:rsidR="00510209" w:rsidRPr="009C0864" w:rsidRDefault="00390FE0" w:rsidP="00E001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510209" w:rsidRPr="009C0864">
        <w:rPr>
          <w:rFonts w:ascii="Arial" w:hAnsi="Arial" w:cs="Arial"/>
          <w:bCs/>
          <w:sz w:val="24"/>
          <w:szCs w:val="24"/>
        </w:rPr>
        <w:t>) editarea şi consultarea în sistem electronic de culegeri de practică şi reviste în domeniul registrului comerţului şi buletinului procedurilor de insolvenţă;</w:t>
      </w:r>
    </w:p>
    <w:p w:rsidR="00EE000A" w:rsidRPr="007B1AB3" w:rsidRDefault="00390FE0" w:rsidP="007B1A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510209" w:rsidRPr="009C0864">
        <w:rPr>
          <w:rFonts w:ascii="Arial" w:hAnsi="Arial" w:cs="Arial"/>
          <w:bCs/>
          <w:sz w:val="24"/>
          <w:szCs w:val="24"/>
        </w:rPr>
        <w:t>) organizarea de seminarii şi conferinţe în domeniul registrului comerţului şi al buletinu</w:t>
      </w:r>
      <w:r w:rsidR="0053115F" w:rsidRPr="009C0864">
        <w:rPr>
          <w:rFonts w:ascii="Arial" w:hAnsi="Arial" w:cs="Arial"/>
          <w:bCs/>
          <w:sz w:val="24"/>
          <w:szCs w:val="24"/>
        </w:rPr>
        <w:t>lui procedurilor de insolvenţă;</w:t>
      </w:r>
      <w:r w:rsidR="00A81F11">
        <w:rPr>
          <w:rFonts w:ascii="Arial" w:hAnsi="Arial" w:cs="Arial"/>
          <w:bCs/>
          <w:sz w:val="24"/>
          <w:szCs w:val="24"/>
        </w:rPr>
        <w:t xml:space="preserve"> </w:t>
      </w:r>
      <w:r w:rsidR="00A81F11" w:rsidRPr="00365BA0">
        <w:rPr>
          <w:rFonts w:ascii="Arial" w:hAnsi="Arial" w:cs="Arial"/>
          <w:bCs/>
          <w:color w:val="000000"/>
          <w:sz w:val="24"/>
          <w:szCs w:val="24"/>
        </w:rPr>
        <w:t>efectuarea de studii, proiecte şi altele asemenea;</w:t>
      </w:r>
    </w:p>
    <w:p w:rsidR="00616C75" w:rsidRPr="005C371C" w:rsidRDefault="007B1AB3" w:rsidP="006B00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</w:t>
      </w:r>
      <w:r w:rsidR="00616C75" w:rsidRPr="005C371C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="008A6F4F" w:rsidRPr="005C371C">
        <w:rPr>
          <w:rFonts w:ascii="Arial" w:hAnsi="Arial" w:cs="Arial"/>
          <w:bCs/>
          <w:color w:val="000000"/>
          <w:sz w:val="24"/>
          <w:szCs w:val="24"/>
        </w:rPr>
        <w:t>realizarea de lu</w:t>
      </w:r>
      <w:r w:rsidR="0016426E" w:rsidRPr="005C371C">
        <w:rPr>
          <w:rFonts w:ascii="Arial" w:hAnsi="Arial" w:cs="Arial"/>
          <w:bCs/>
          <w:color w:val="000000"/>
          <w:sz w:val="24"/>
          <w:szCs w:val="24"/>
        </w:rPr>
        <w:t>crări statistice, sintetice sau analitice, pe două sau mai multe criterii, în domeniul registrul comerţului şi buletinul procedurilor de insolvenţă;</w:t>
      </w:r>
    </w:p>
    <w:p w:rsidR="002313B0" w:rsidRPr="005C371C" w:rsidRDefault="007B1AB3" w:rsidP="006B00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="002313B0" w:rsidRPr="005C371C">
        <w:rPr>
          <w:rFonts w:ascii="Arial" w:hAnsi="Arial" w:cs="Arial"/>
          <w:bCs/>
          <w:color w:val="000000"/>
          <w:sz w:val="24"/>
          <w:szCs w:val="24"/>
        </w:rPr>
        <w:t>) realizarea de analize/rapoarte specializate (analize generale, sectoriale sau de conjunctură) în domeniul registrul comerţului şi buletinul procedurilor de insolve</w:t>
      </w:r>
      <w:r w:rsidR="0032182C" w:rsidRPr="005C371C">
        <w:rPr>
          <w:rFonts w:ascii="Arial" w:hAnsi="Arial" w:cs="Arial"/>
          <w:bCs/>
          <w:color w:val="000000"/>
          <w:sz w:val="24"/>
          <w:szCs w:val="24"/>
        </w:rPr>
        <w:t>nţă pentru mediului de afaceri</w:t>
      </w:r>
      <w:r w:rsidR="002313B0" w:rsidRPr="005C371C">
        <w:rPr>
          <w:rFonts w:ascii="Arial" w:hAnsi="Arial" w:cs="Arial"/>
          <w:bCs/>
          <w:color w:val="000000"/>
          <w:sz w:val="24"/>
          <w:szCs w:val="24"/>
        </w:rPr>
        <w:t>, cetăţeni</w:t>
      </w:r>
      <w:r w:rsidR="0032182C" w:rsidRPr="005C371C">
        <w:rPr>
          <w:rFonts w:ascii="Arial" w:hAnsi="Arial" w:cs="Arial"/>
          <w:bCs/>
          <w:color w:val="000000"/>
          <w:sz w:val="24"/>
          <w:szCs w:val="24"/>
        </w:rPr>
        <w:t>, alte persoane interesate</w:t>
      </w:r>
      <w:r w:rsidR="002313B0" w:rsidRPr="005C371C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FF6403" w:rsidRDefault="00062427" w:rsidP="006B004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DB7776">
        <w:rPr>
          <w:rFonts w:ascii="Arial" w:hAnsi="Arial" w:cs="Arial"/>
          <w:bCs/>
          <w:sz w:val="24"/>
          <w:szCs w:val="24"/>
        </w:rPr>
        <w:t xml:space="preserve">) </w:t>
      </w:r>
      <w:r w:rsidR="0011515F">
        <w:rPr>
          <w:rFonts w:ascii="Arial" w:hAnsi="Arial" w:cs="Arial"/>
          <w:bCs/>
          <w:sz w:val="24"/>
          <w:szCs w:val="24"/>
        </w:rPr>
        <w:t>închiriere/su</w:t>
      </w:r>
      <w:r w:rsidR="00C3550E">
        <w:rPr>
          <w:rFonts w:ascii="Arial" w:hAnsi="Arial" w:cs="Arial"/>
          <w:bCs/>
          <w:sz w:val="24"/>
          <w:szCs w:val="24"/>
        </w:rPr>
        <w:t>b</w:t>
      </w:r>
      <w:r w:rsidR="0011515F">
        <w:rPr>
          <w:rFonts w:ascii="Arial" w:hAnsi="Arial" w:cs="Arial"/>
          <w:bCs/>
          <w:sz w:val="24"/>
          <w:szCs w:val="24"/>
        </w:rPr>
        <w:t xml:space="preserve">închirierea, în condiţiile legii </w:t>
      </w:r>
      <w:r w:rsidR="00D942C7">
        <w:rPr>
          <w:rFonts w:ascii="Arial" w:hAnsi="Arial" w:cs="Arial"/>
          <w:bCs/>
          <w:sz w:val="24"/>
          <w:szCs w:val="24"/>
        </w:rPr>
        <w:t>a unor spaţii aflate în administrarea/folosinţa sa</w:t>
      </w:r>
      <w:r w:rsidR="00B7163B" w:rsidRPr="00B73E4C">
        <w:rPr>
          <w:rFonts w:ascii="Arial" w:hAnsi="Arial" w:cs="Arial"/>
          <w:bCs/>
          <w:sz w:val="24"/>
          <w:szCs w:val="24"/>
        </w:rPr>
        <w:t>;</w:t>
      </w:r>
    </w:p>
    <w:p w:rsidR="00925033" w:rsidRPr="00B73E4C" w:rsidRDefault="008266CD" w:rsidP="000923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71F5E">
        <w:rPr>
          <w:rFonts w:ascii="Arial" w:hAnsi="Arial" w:cs="Arial"/>
          <w:bCs/>
          <w:color w:val="000000"/>
          <w:sz w:val="24"/>
          <w:szCs w:val="24"/>
        </w:rPr>
        <w:tab/>
        <w:t xml:space="preserve">(2) </w:t>
      </w:r>
      <w:r w:rsidR="003747B1" w:rsidRPr="00671F5E">
        <w:rPr>
          <w:rFonts w:ascii="Arial" w:hAnsi="Arial" w:cs="Arial"/>
          <w:bCs/>
          <w:color w:val="000000"/>
          <w:sz w:val="24"/>
          <w:szCs w:val="24"/>
        </w:rPr>
        <w:t>Activ</w:t>
      </w:r>
      <w:r w:rsidR="00E241C1" w:rsidRPr="00671F5E">
        <w:rPr>
          <w:rFonts w:ascii="Arial" w:hAnsi="Arial" w:cs="Arial"/>
          <w:bCs/>
          <w:color w:val="000000"/>
          <w:sz w:val="24"/>
          <w:szCs w:val="24"/>
        </w:rPr>
        <w:t>ităţile prevăzute la alin.(1) se desfăşoară</w:t>
      </w:r>
      <w:r w:rsidR="00E241C1" w:rsidRPr="00B73E4C">
        <w:rPr>
          <w:rFonts w:ascii="Arial" w:hAnsi="Arial" w:cs="Arial"/>
          <w:bCs/>
          <w:sz w:val="24"/>
          <w:szCs w:val="24"/>
        </w:rPr>
        <w:t xml:space="preserve"> de către Oficiul Naţional al Registrului Comerţului şi/sau oficiile registrului comerţului de pe lângă tribunale.</w:t>
      </w:r>
    </w:p>
    <w:p w:rsidR="00CB5092" w:rsidRPr="007B1AB3" w:rsidRDefault="007E131D" w:rsidP="007B1A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864">
        <w:rPr>
          <w:rFonts w:ascii="Arial" w:hAnsi="Arial" w:cs="Arial"/>
          <w:bCs/>
          <w:sz w:val="24"/>
          <w:szCs w:val="24"/>
        </w:rPr>
        <w:tab/>
      </w:r>
    </w:p>
    <w:p w:rsidR="00CB5092" w:rsidRPr="00063470" w:rsidRDefault="007E131D" w:rsidP="007B1A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/>
          <w:bCs/>
          <w:color w:val="000000"/>
          <w:sz w:val="24"/>
          <w:szCs w:val="24"/>
        </w:rPr>
        <w:t>Art.2</w:t>
      </w:r>
    </w:p>
    <w:p w:rsidR="00655658" w:rsidRPr="007B1AB3" w:rsidRDefault="00984C67" w:rsidP="00CD075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63470">
        <w:rPr>
          <w:rFonts w:ascii="Arial" w:hAnsi="Arial" w:cs="Arial"/>
          <w:bCs/>
          <w:color w:val="000000"/>
          <w:sz w:val="24"/>
          <w:szCs w:val="24"/>
        </w:rPr>
        <w:tab/>
      </w:r>
      <w:r w:rsidR="00F25297" w:rsidRPr="00063470">
        <w:rPr>
          <w:rFonts w:ascii="Arial" w:hAnsi="Arial" w:cs="Arial"/>
          <w:bCs/>
          <w:color w:val="000000"/>
          <w:sz w:val="24"/>
          <w:szCs w:val="24"/>
        </w:rPr>
        <w:t>(1</w:t>
      </w:r>
      <w:r w:rsidRPr="00063470">
        <w:rPr>
          <w:rFonts w:ascii="Arial" w:hAnsi="Arial" w:cs="Arial"/>
          <w:bCs/>
          <w:color w:val="000000"/>
          <w:sz w:val="24"/>
          <w:szCs w:val="24"/>
        </w:rPr>
        <w:t xml:space="preserve">) Veniturile </w:t>
      </w:r>
      <w:r w:rsidR="00CC77A4" w:rsidRPr="00063470">
        <w:rPr>
          <w:rFonts w:ascii="Arial" w:hAnsi="Arial" w:cs="Arial"/>
          <w:bCs/>
          <w:color w:val="000000"/>
          <w:sz w:val="24"/>
          <w:szCs w:val="24"/>
        </w:rPr>
        <w:t xml:space="preserve">proprii </w:t>
      </w:r>
      <w:r w:rsidR="00D07483" w:rsidRPr="00063470">
        <w:rPr>
          <w:rFonts w:ascii="Arial" w:hAnsi="Arial" w:cs="Arial"/>
          <w:bCs/>
          <w:color w:val="000000"/>
          <w:sz w:val="24"/>
          <w:szCs w:val="24"/>
        </w:rPr>
        <w:t xml:space="preserve">se </w:t>
      </w:r>
      <w:r w:rsidR="00DB273F" w:rsidRPr="00063470">
        <w:rPr>
          <w:rFonts w:ascii="Arial" w:hAnsi="Arial" w:cs="Arial"/>
          <w:bCs/>
          <w:color w:val="000000"/>
          <w:sz w:val="24"/>
          <w:szCs w:val="24"/>
        </w:rPr>
        <w:t>constituite din tariful obţinut</w:t>
      </w:r>
      <w:r w:rsidR="00CC77A4" w:rsidRPr="000634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63470">
        <w:rPr>
          <w:rFonts w:ascii="Arial" w:hAnsi="Arial" w:cs="Arial"/>
          <w:bCs/>
          <w:color w:val="000000"/>
          <w:sz w:val="24"/>
          <w:szCs w:val="24"/>
        </w:rPr>
        <w:t xml:space="preserve">din </w:t>
      </w:r>
      <w:r w:rsidR="00CC77A4" w:rsidRPr="00063470">
        <w:rPr>
          <w:rFonts w:ascii="Arial" w:hAnsi="Arial" w:cs="Arial"/>
          <w:bCs/>
          <w:color w:val="000000"/>
          <w:sz w:val="24"/>
          <w:szCs w:val="24"/>
        </w:rPr>
        <w:t>desfăşurarea activităţilor</w:t>
      </w:r>
      <w:r w:rsidRPr="00063470">
        <w:rPr>
          <w:rFonts w:ascii="Arial" w:hAnsi="Arial" w:cs="Arial"/>
          <w:bCs/>
          <w:color w:val="000000"/>
          <w:sz w:val="24"/>
          <w:szCs w:val="24"/>
        </w:rPr>
        <w:t xml:space="preserve"> prevăzute la art.1</w:t>
      </w:r>
      <w:r w:rsidR="00D07483" w:rsidRPr="0006347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DB273F" w:rsidRPr="00063470">
        <w:rPr>
          <w:rFonts w:ascii="Arial" w:hAnsi="Arial" w:cs="Arial"/>
          <w:bCs/>
          <w:color w:val="000000"/>
          <w:sz w:val="24"/>
          <w:szCs w:val="24"/>
        </w:rPr>
        <w:t>fundamentat pe tip de activitate</w:t>
      </w:r>
      <w:r w:rsidR="007B1AB3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D07483" w:rsidRPr="00063470">
        <w:rPr>
          <w:rFonts w:ascii="Arial" w:hAnsi="Arial" w:cs="Arial"/>
          <w:bCs/>
          <w:color w:val="000000"/>
          <w:sz w:val="24"/>
          <w:szCs w:val="24"/>
        </w:rPr>
        <w:t xml:space="preserve">Acestea </w:t>
      </w:r>
      <w:r w:rsidRPr="00063470">
        <w:rPr>
          <w:rFonts w:ascii="Arial" w:hAnsi="Arial" w:cs="Arial"/>
          <w:bCs/>
          <w:color w:val="000000"/>
          <w:sz w:val="24"/>
          <w:szCs w:val="24"/>
        </w:rPr>
        <w:t>se încasează, administrează şi contabilizează potrivit dispozi</w:t>
      </w:r>
      <w:r w:rsidR="004E1A4F" w:rsidRPr="00063470">
        <w:rPr>
          <w:rFonts w:ascii="Arial" w:hAnsi="Arial" w:cs="Arial"/>
          <w:bCs/>
          <w:color w:val="000000"/>
          <w:sz w:val="24"/>
          <w:szCs w:val="24"/>
        </w:rPr>
        <w:t>ţiilor legale. Aceste venituri s</w:t>
      </w:r>
      <w:r w:rsidRPr="00063470">
        <w:rPr>
          <w:rFonts w:ascii="Arial" w:hAnsi="Arial" w:cs="Arial"/>
          <w:bCs/>
          <w:color w:val="000000"/>
          <w:sz w:val="24"/>
          <w:szCs w:val="24"/>
        </w:rPr>
        <w:t>e utilizează pentru acoperirea cheltuielilor aferente activităţilor finanţat</w:t>
      </w:r>
      <w:r w:rsidR="00637A03">
        <w:rPr>
          <w:rFonts w:ascii="Arial" w:hAnsi="Arial" w:cs="Arial"/>
          <w:bCs/>
          <w:color w:val="000000"/>
          <w:sz w:val="24"/>
          <w:szCs w:val="24"/>
        </w:rPr>
        <w:t>e integral din venituri proprii şi</w:t>
      </w:r>
      <w:r w:rsidRPr="000634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37A03">
        <w:rPr>
          <w:rFonts w:ascii="Arial" w:hAnsi="Arial" w:cs="Arial"/>
          <w:bCs/>
          <w:color w:val="000000"/>
          <w:sz w:val="24"/>
          <w:szCs w:val="24"/>
        </w:rPr>
        <w:t>dezvoltarea acestor activităţi.</w:t>
      </w:r>
      <w:r w:rsidR="00637A03" w:rsidRPr="00637A0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637A03" w:rsidRPr="007B1AB3">
        <w:rPr>
          <w:rFonts w:ascii="Arial" w:hAnsi="Arial" w:cs="Arial"/>
          <w:bCs/>
          <w:sz w:val="24"/>
          <w:szCs w:val="24"/>
        </w:rPr>
        <w:t xml:space="preserve">Din veniturile proprii realizate prin activităţile prevăzute la art.1 se asigură </w:t>
      </w:r>
      <w:r w:rsidRPr="007B1AB3">
        <w:rPr>
          <w:rFonts w:ascii="Arial" w:hAnsi="Arial" w:cs="Arial"/>
          <w:bCs/>
          <w:sz w:val="24"/>
          <w:szCs w:val="24"/>
        </w:rPr>
        <w:t>formarea profesională a personalului Oficiului Naţ</w:t>
      </w:r>
      <w:r w:rsidR="00655658" w:rsidRPr="007B1AB3">
        <w:rPr>
          <w:rFonts w:ascii="Arial" w:hAnsi="Arial" w:cs="Arial"/>
          <w:bCs/>
          <w:sz w:val="24"/>
          <w:szCs w:val="24"/>
        </w:rPr>
        <w:t>ional al Registrului Comerţului</w:t>
      </w:r>
      <w:r w:rsidRPr="007B1AB3">
        <w:rPr>
          <w:rFonts w:ascii="Arial" w:hAnsi="Arial" w:cs="Arial"/>
          <w:bCs/>
          <w:sz w:val="24"/>
          <w:szCs w:val="24"/>
        </w:rPr>
        <w:t xml:space="preserve"> şi al oficiilor registrului comerţului de pe lângă tribunale,</w:t>
      </w:r>
      <w:r w:rsidR="009C0B05" w:rsidRPr="007B1AB3">
        <w:rPr>
          <w:rFonts w:ascii="Arial" w:hAnsi="Arial" w:cs="Arial"/>
          <w:bCs/>
          <w:sz w:val="24"/>
          <w:szCs w:val="24"/>
        </w:rPr>
        <w:t xml:space="preserve"> dotarea Oficiului Naţional al R</w:t>
      </w:r>
      <w:r w:rsidRPr="007B1AB3">
        <w:rPr>
          <w:rFonts w:ascii="Arial" w:hAnsi="Arial" w:cs="Arial"/>
          <w:bCs/>
          <w:sz w:val="24"/>
          <w:szCs w:val="24"/>
        </w:rPr>
        <w:t xml:space="preserve">egistrului </w:t>
      </w:r>
      <w:r w:rsidR="009C0B05" w:rsidRPr="007B1AB3">
        <w:rPr>
          <w:rFonts w:ascii="Arial" w:hAnsi="Arial" w:cs="Arial"/>
          <w:bCs/>
          <w:sz w:val="24"/>
          <w:szCs w:val="24"/>
        </w:rPr>
        <w:t>Comerţului şi a oficiilor registrului comerţului de pe lângă t</w:t>
      </w:r>
      <w:r w:rsidR="008F3F5C" w:rsidRPr="007B1AB3">
        <w:rPr>
          <w:rFonts w:ascii="Arial" w:hAnsi="Arial" w:cs="Arial"/>
          <w:bCs/>
          <w:sz w:val="24"/>
          <w:szCs w:val="24"/>
        </w:rPr>
        <w:t xml:space="preserve">ribunale cu cărţi, publicaţii, lucrări </w:t>
      </w:r>
      <w:r w:rsidR="00F10813" w:rsidRPr="007B1AB3">
        <w:rPr>
          <w:rFonts w:ascii="Arial" w:hAnsi="Arial" w:cs="Arial"/>
          <w:bCs/>
          <w:sz w:val="24"/>
          <w:szCs w:val="24"/>
        </w:rPr>
        <w:t>de specialitate juridică, informatică şi economică</w:t>
      </w:r>
      <w:r w:rsidR="008F3F5C" w:rsidRPr="007B1AB3">
        <w:rPr>
          <w:rFonts w:ascii="Arial" w:hAnsi="Arial" w:cs="Arial"/>
          <w:bCs/>
          <w:sz w:val="24"/>
          <w:szCs w:val="24"/>
        </w:rPr>
        <w:t>,</w:t>
      </w:r>
      <w:r w:rsidR="00B472E8" w:rsidRPr="007B1AB3">
        <w:rPr>
          <w:rFonts w:ascii="Arial" w:hAnsi="Arial" w:cs="Arial"/>
          <w:bCs/>
          <w:sz w:val="24"/>
          <w:szCs w:val="24"/>
        </w:rPr>
        <w:t xml:space="preserve"> constituirea</w:t>
      </w:r>
      <w:r w:rsidR="00810EFA" w:rsidRPr="007B1AB3">
        <w:rPr>
          <w:rFonts w:ascii="Arial" w:hAnsi="Arial" w:cs="Arial"/>
          <w:bCs/>
          <w:sz w:val="24"/>
          <w:szCs w:val="24"/>
        </w:rPr>
        <w:t xml:space="preserve"> de</w:t>
      </w:r>
      <w:r w:rsidR="00B472E8" w:rsidRPr="007B1AB3">
        <w:rPr>
          <w:rFonts w:ascii="Arial" w:hAnsi="Arial" w:cs="Arial"/>
          <w:bCs/>
          <w:sz w:val="24"/>
          <w:szCs w:val="24"/>
        </w:rPr>
        <w:t xml:space="preserve"> bibliotecii,</w:t>
      </w:r>
      <w:r w:rsidR="008F3F5C" w:rsidRPr="007B1AB3">
        <w:rPr>
          <w:rFonts w:ascii="Arial" w:hAnsi="Arial" w:cs="Arial"/>
          <w:bCs/>
          <w:sz w:val="24"/>
          <w:szCs w:val="24"/>
        </w:rPr>
        <w:t xml:space="preserve"> organizarea de acţiuni cu caracte</w:t>
      </w:r>
      <w:r w:rsidR="00022090" w:rsidRPr="007B1AB3">
        <w:rPr>
          <w:rFonts w:ascii="Arial" w:hAnsi="Arial" w:cs="Arial"/>
          <w:bCs/>
          <w:sz w:val="24"/>
          <w:szCs w:val="24"/>
        </w:rPr>
        <w:t>r</w:t>
      </w:r>
      <w:r w:rsidR="005B13D0" w:rsidRPr="007B1AB3">
        <w:rPr>
          <w:rFonts w:ascii="Arial" w:hAnsi="Arial" w:cs="Arial"/>
          <w:bCs/>
          <w:sz w:val="24"/>
          <w:szCs w:val="24"/>
        </w:rPr>
        <w:t xml:space="preserve"> profesional şi </w:t>
      </w:r>
      <w:r w:rsidR="00655658" w:rsidRPr="007B1AB3">
        <w:rPr>
          <w:rFonts w:ascii="Arial" w:hAnsi="Arial" w:cs="Arial"/>
          <w:bCs/>
          <w:sz w:val="24"/>
          <w:szCs w:val="24"/>
        </w:rPr>
        <w:t>social</w:t>
      </w:r>
      <w:r w:rsidR="005B13D0" w:rsidRPr="007B1AB3">
        <w:rPr>
          <w:rFonts w:ascii="Arial" w:hAnsi="Arial" w:cs="Arial"/>
          <w:bCs/>
          <w:sz w:val="24"/>
          <w:szCs w:val="24"/>
        </w:rPr>
        <w:t xml:space="preserve">, </w:t>
      </w:r>
      <w:r w:rsidR="005B13D0" w:rsidRPr="007B1AB3">
        <w:rPr>
          <w:rFonts w:ascii="Arial" w:hAnsi="Arial" w:cs="Arial"/>
          <w:bCs/>
          <w:sz w:val="24"/>
          <w:szCs w:val="24"/>
        </w:rPr>
        <w:lastRenderedPageBreak/>
        <w:t>implementarea d</w:t>
      </w:r>
      <w:r w:rsidR="00637A03" w:rsidRPr="007B1AB3">
        <w:rPr>
          <w:rFonts w:ascii="Arial" w:hAnsi="Arial" w:cs="Arial"/>
          <w:bCs/>
          <w:sz w:val="24"/>
          <w:szCs w:val="24"/>
        </w:rPr>
        <w:t>e</w:t>
      </w:r>
      <w:r w:rsidR="005B13D0" w:rsidRPr="007B1AB3">
        <w:rPr>
          <w:rFonts w:ascii="Arial" w:hAnsi="Arial" w:cs="Arial"/>
          <w:bCs/>
          <w:sz w:val="24"/>
          <w:szCs w:val="24"/>
        </w:rPr>
        <w:t xml:space="preserve"> sisteme şi</w:t>
      </w:r>
      <w:r w:rsidR="00637A03" w:rsidRPr="007B1AB3">
        <w:rPr>
          <w:rFonts w:ascii="Arial" w:hAnsi="Arial" w:cs="Arial"/>
          <w:bCs/>
          <w:sz w:val="24"/>
          <w:szCs w:val="24"/>
        </w:rPr>
        <w:t xml:space="preserve"> soluţii moderne de informatizare, </w:t>
      </w:r>
      <w:r w:rsidR="005B13D0" w:rsidRPr="007B1AB3">
        <w:rPr>
          <w:rFonts w:ascii="Arial" w:hAnsi="Arial" w:cs="Arial"/>
          <w:bCs/>
          <w:sz w:val="24"/>
          <w:szCs w:val="24"/>
        </w:rPr>
        <w:t>achiziţionarea de active fixe corporale şi necorporale (calculatoare, echipamente de reţea, etc.), alte cheltuieli pentru dotări necesare desfăşurării activităţii Oficiului Naţional al Registrului Comerţului.</w:t>
      </w:r>
    </w:p>
    <w:p w:rsidR="00352B3A" w:rsidRPr="00063470" w:rsidRDefault="008F3F5C" w:rsidP="00655658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Cs/>
          <w:color w:val="000000"/>
          <w:sz w:val="24"/>
          <w:szCs w:val="24"/>
        </w:rPr>
        <w:t xml:space="preserve">(2) </w:t>
      </w:r>
      <w:r w:rsidR="00F10813" w:rsidRPr="000634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Activităţile prevăzute</w:t>
      </w:r>
      <w:r w:rsidR="00352B3A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la art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.</w:t>
      </w:r>
      <w:r w:rsidR="00352B3A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1</w:t>
      </w:r>
      <w:r w:rsidR="0068728E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se încadrează la acel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aşi capitol bugetar la care este încadrat </w:t>
      </w:r>
      <w:r w:rsidR="00352B3A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şi ordonatorul de credite care le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organizează.</w:t>
      </w:r>
      <w:bookmarkStart w:id="4" w:name="do|ar1|al6"/>
      <w:bookmarkEnd w:id="4"/>
    </w:p>
    <w:p w:rsidR="000B5C49" w:rsidRPr="00063470" w:rsidRDefault="00352B3A" w:rsidP="00352B3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063470">
        <w:rPr>
          <w:rFonts w:ascii="Arial" w:hAnsi="Arial" w:cs="Arial"/>
          <w:bCs/>
          <w:color w:val="000000"/>
          <w:sz w:val="24"/>
          <w:szCs w:val="24"/>
        </w:rPr>
        <w:t xml:space="preserve">(3) 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Bugetul de venituri </w:t>
      </w:r>
      <w:r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şi cheltuieli pentru activităţile finanţate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integral din venit</w:t>
      </w:r>
      <w:r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uri proprii, prevăzute</w:t>
      </w:r>
      <w:r w:rsidR="00734D14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la art.1 se aprobă odată cu bugetul Oficiului Naţional al Registrului Comerţului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, potrivit prevederilor Legii nr.</w:t>
      </w:r>
      <w:hyperlink r:id="rId9" w:history="1">
        <w:r w:rsidR="000B5C49" w:rsidRPr="00063470">
          <w:rPr>
            <w:rStyle w:val="Hyperlink"/>
            <w:rFonts w:ascii="Arial" w:hAnsi="Arial" w:cs="Arial"/>
            <w:bCs/>
            <w:color w:val="000000"/>
            <w:sz w:val="24"/>
            <w:szCs w:val="24"/>
            <w:u w:val="none"/>
            <w:lang w:val="en-US"/>
          </w:rPr>
          <w:t>500/2002</w:t>
        </w:r>
      </w:hyperlink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privind finanţele publice, cu modificările şi completările ulterioare.</w:t>
      </w:r>
    </w:p>
    <w:p w:rsidR="001343AC" w:rsidRPr="00063470" w:rsidRDefault="001343AC" w:rsidP="00352B3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(4) Normele metodologice pentru elaborarea bugetului de venituri şi cheltuieli pentru activităţile menţionate la art.1 se stabilesc prin ordin al ministrului justiţiei.</w:t>
      </w:r>
    </w:p>
    <w:p w:rsidR="000B5C49" w:rsidRPr="00063470" w:rsidRDefault="00230EF2" w:rsidP="00352B3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bookmarkStart w:id="5" w:name="do|ar1|al7"/>
      <w:bookmarkEnd w:id="5"/>
      <w:r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(5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)</w:t>
      </w:r>
      <w:r w:rsidR="00352B3A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Bugetul de venituri </w:t>
      </w:r>
      <w:r w:rsidR="00734D14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şi cheltuieli pentru activitatăţile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finanţat</w:t>
      </w:r>
      <w:r w:rsidR="00734D14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e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integral din venituri proprii se întocmeşte, la venituri, pe surse de provenienţă, iar la cheltuieli, după natura şi destinaţia acestora, potrivit clasificaţiei bugetare.</w:t>
      </w:r>
    </w:p>
    <w:p w:rsidR="00230EF2" w:rsidRPr="00063470" w:rsidRDefault="00230EF2" w:rsidP="00352B3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(6) Pentru disponibilităţile păstrate în conturile deschise la trezoreria statului se acordă dobândă şi se pot constitui depozite la termen. </w:t>
      </w:r>
    </w:p>
    <w:p w:rsidR="000B5C49" w:rsidRPr="00063470" w:rsidRDefault="00230EF2" w:rsidP="00352B3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bookmarkStart w:id="6" w:name="do|ar1|al8"/>
      <w:bookmarkEnd w:id="6"/>
      <w:r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(7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)</w:t>
      </w:r>
      <w:r w:rsidR="00734D14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Excedentul anual rezultat din execuţia bugetului de venituri şi cheltuieli </w:t>
      </w:r>
      <w:r w:rsidR="00F125F3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şi dobanzile aferente 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se reportează în anul următor şi se utilizează cu aceleaşi destinaţii.</w:t>
      </w:r>
    </w:p>
    <w:p w:rsidR="000B5C49" w:rsidRPr="00063470" w:rsidRDefault="00230EF2" w:rsidP="00352B3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bookmarkStart w:id="7" w:name="do|ar1|al9"/>
      <w:bookmarkEnd w:id="7"/>
      <w:r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(8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)</w:t>
      </w:r>
      <w:r w:rsidR="00734D14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Execuţia de casă a bugetului de venituri şi cheltuieli al</w:t>
      </w:r>
      <w:r w:rsidR="00734D14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activităţilor prevăzute la art.1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se realizează prin Trezoreria Statului, conform prevederilor legale în vigoare.</w:t>
      </w:r>
    </w:p>
    <w:p w:rsidR="00B653E6" w:rsidRPr="00C22B01" w:rsidRDefault="00230EF2" w:rsidP="00C22B01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bookmarkStart w:id="8" w:name="do|ar1|al10"/>
      <w:bookmarkEnd w:id="8"/>
      <w:r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(8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)</w:t>
      </w:r>
      <w:r w:rsidR="006A1FE0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Raportarea execuţiei de casă a bugetului de venit</w:t>
      </w:r>
      <w:r w:rsidR="006A1FE0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>uri şi cheltuieli al activităţilor prevăzute la art.1</w:t>
      </w:r>
      <w:r w:rsidR="000B5C49" w:rsidRPr="0006347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se efectuează în conformitate cu instrucţiunile emise de Ministerul Finanţelor Publice.</w:t>
      </w:r>
    </w:p>
    <w:p w:rsidR="00CB5092" w:rsidRDefault="00CB5092" w:rsidP="007B1AB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B5092" w:rsidRPr="00063470" w:rsidRDefault="005D034C" w:rsidP="007B1AB3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/>
          <w:bCs/>
          <w:color w:val="000000"/>
          <w:sz w:val="24"/>
          <w:szCs w:val="24"/>
        </w:rPr>
        <w:t>Art.3</w:t>
      </w:r>
    </w:p>
    <w:p w:rsidR="005D034C" w:rsidRPr="00063470" w:rsidRDefault="001D3534" w:rsidP="001D3534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Cs/>
          <w:color w:val="000000"/>
          <w:sz w:val="24"/>
          <w:szCs w:val="24"/>
        </w:rPr>
        <w:t xml:space="preserve">(1) </w:t>
      </w:r>
      <w:r w:rsidR="005D034C" w:rsidRPr="00063470">
        <w:rPr>
          <w:rFonts w:ascii="Arial" w:hAnsi="Arial" w:cs="Arial"/>
          <w:bCs/>
          <w:color w:val="000000"/>
          <w:sz w:val="24"/>
          <w:szCs w:val="24"/>
        </w:rPr>
        <w:t xml:space="preserve">Modul de organizare </w:t>
      </w:r>
      <w:r w:rsidRPr="00063470">
        <w:rPr>
          <w:rFonts w:ascii="Arial" w:hAnsi="Arial" w:cs="Arial"/>
          <w:bCs/>
          <w:color w:val="000000"/>
          <w:sz w:val="24"/>
          <w:szCs w:val="24"/>
        </w:rPr>
        <w:t xml:space="preserve">şi desfăşurare </w:t>
      </w:r>
      <w:r w:rsidR="005D034C" w:rsidRPr="00063470">
        <w:rPr>
          <w:rFonts w:ascii="Arial" w:hAnsi="Arial" w:cs="Arial"/>
          <w:bCs/>
          <w:color w:val="000000"/>
          <w:sz w:val="24"/>
          <w:szCs w:val="24"/>
        </w:rPr>
        <w:t>a activităţilo</w:t>
      </w:r>
      <w:r w:rsidR="00465B6E" w:rsidRPr="00063470">
        <w:rPr>
          <w:rFonts w:ascii="Arial" w:hAnsi="Arial" w:cs="Arial"/>
          <w:bCs/>
          <w:color w:val="000000"/>
          <w:sz w:val="24"/>
          <w:szCs w:val="24"/>
        </w:rPr>
        <w:t>r prevăzute la art.1 şi tariful perceput</w:t>
      </w:r>
      <w:r w:rsidR="005D034C" w:rsidRPr="00063470">
        <w:rPr>
          <w:rFonts w:ascii="Arial" w:hAnsi="Arial" w:cs="Arial"/>
          <w:bCs/>
          <w:color w:val="000000"/>
          <w:sz w:val="24"/>
          <w:szCs w:val="24"/>
        </w:rPr>
        <w:t xml:space="preserve"> pentru prestarea acestora</w:t>
      </w:r>
      <w:r w:rsidR="00465B6E" w:rsidRPr="00063470">
        <w:rPr>
          <w:rFonts w:ascii="Arial" w:hAnsi="Arial" w:cs="Arial"/>
          <w:bCs/>
          <w:color w:val="000000"/>
          <w:sz w:val="24"/>
          <w:szCs w:val="24"/>
        </w:rPr>
        <w:t>, fundamentat pe tip de activitate, se stabilesc</w:t>
      </w:r>
      <w:r w:rsidR="005D034C" w:rsidRPr="00063470">
        <w:rPr>
          <w:rFonts w:ascii="Arial" w:hAnsi="Arial" w:cs="Arial"/>
          <w:bCs/>
          <w:color w:val="000000"/>
          <w:sz w:val="24"/>
          <w:szCs w:val="24"/>
        </w:rPr>
        <w:t xml:space="preserve"> prin ordin al ministrului justiţiei. </w:t>
      </w:r>
      <w:r w:rsidR="00465B6E" w:rsidRPr="00063470">
        <w:rPr>
          <w:rFonts w:ascii="Arial" w:hAnsi="Arial" w:cs="Arial"/>
          <w:bCs/>
          <w:color w:val="000000"/>
          <w:sz w:val="24"/>
          <w:szCs w:val="24"/>
        </w:rPr>
        <w:t>Tariful perceput, fundamentat pe tip de activitate,</w:t>
      </w:r>
      <w:r w:rsidR="008556BD" w:rsidRPr="00063470">
        <w:rPr>
          <w:rFonts w:ascii="Arial" w:hAnsi="Arial" w:cs="Arial"/>
          <w:bCs/>
          <w:color w:val="000000"/>
          <w:sz w:val="24"/>
          <w:szCs w:val="24"/>
        </w:rPr>
        <w:t xml:space="preserve"> se actualizează anual cu indicele inflaţiei.</w:t>
      </w:r>
    </w:p>
    <w:p w:rsidR="00925033" w:rsidRPr="00063470" w:rsidRDefault="0060141B" w:rsidP="00B73E4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Cs/>
          <w:color w:val="000000"/>
          <w:sz w:val="24"/>
          <w:szCs w:val="24"/>
        </w:rPr>
        <w:t>(2</w:t>
      </w:r>
      <w:r w:rsidR="00F64AF8" w:rsidRPr="00063470">
        <w:rPr>
          <w:rFonts w:ascii="Arial" w:hAnsi="Arial" w:cs="Arial"/>
          <w:bCs/>
          <w:color w:val="000000"/>
          <w:sz w:val="24"/>
          <w:szCs w:val="24"/>
        </w:rPr>
        <w:t>) Până la asigurarea fondurilor suficiente  dotărilor necesare derulării activităţilor prevăzute la art.1 se va utiliza infrastructura Oficiului Naţional al Registrului Comerţului şi a oficiilor registrului comerţului de pe lângă tribunale care poate fi degrevată ca urmare a uzurii fizice şi morale.</w:t>
      </w:r>
    </w:p>
    <w:p w:rsidR="00C22B01" w:rsidRPr="00063470" w:rsidRDefault="00C22B01" w:rsidP="00576B3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22B01" w:rsidRPr="00063470" w:rsidRDefault="000C0A3C" w:rsidP="007B1AB3">
      <w:pPr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Cs/>
          <w:color w:val="000000"/>
          <w:sz w:val="24"/>
          <w:szCs w:val="24"/>
        </w:rPr>
        <w:t xml:space="preserve">PRIM </w:t>
      </w:r>
      <w:r w:rsidR="00CC6CA6" w:rsidRPr="00063470">
        <w:rPr>
          <w:rFonts w:ascii="Arial" w:hAnsi="Arial" w:cs="Arial"/>
          <w:bCs/>
          <w:color w:val="000000"/>
          <w:sz w:val="24"/>
          <w:szCs w:val="24"/>
        </w:rPr>
        <w:t>–</w:t>
      </w:r>
      <w:r w:rsidRPr="00063470">
        <w:rPr>
          <w:rFonts w:ascii="Arial" w:hAnsi="Arial" w:cs="Arial"/>
          <w:bCs/>
          <w:color w:val="000000"/>
          <w:sz w:val="24"/>
          <w:szCs w:val="24"/>
        </w:rPr>
        <w:t xml:space="preserve"> MINISTRU</w:t>
      </w:r>
      <w:r w:rsidR="00CC6CA6" w:rsidRPr="00063470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CB5092" w:rsidRPr="007B1AB3" w:rsidRDefault="000C0A3C" w:rsidP="007B1AB3">
      <w:pPr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/>
          <w:bCs/>
          <w:color w:val="000000"/>
          <w:sz w:val="24"/>
          <w:szCs w:val="24"/>
        </w:rPr>
        <w:t>VICTOR - VIOREL PONTA</w:t>
      </w:r>
    </w:p>
    <w:p w:rsidR="00C22B01" w:rsidRDefault="00C22B01" w:rsidP="00576B30">
      <w:pPr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445AB" w:rsidRPr="00063470" w:rsidRDefault="000C0A3C" w:rsidP="007B1AB3">
      <w:pPr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Cs/>
          <w:color w:val="000000"/>
          <w:sz w:val="24"/>
          <w:szCs w:val="24"/>
        </w:rPr>
        <w:t>Contrasemnează :</w:t>
      </w:r>
    </w:p>
    <w:p w:rsidR="000C0A3C" w:rsidRPr="00063470" w:rsidRDefault="000C0A3C" w:rsidP="000C0A3C">
      <w:pPr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Cs/>
          <w:color w:val="000000"/>
          <w:sz w:val="24"/>
          <w:szCs w:val="24"/>
        </w:rPr>
        <w:t>Ministrul Justiţiei,</w:t>
      </w:r>
    </w:p>
    <w:p w:rsidR="00BC6910" w:rsidRPr="00063470" w:rsidRDefault="000C0A3C" w:rsidP="00576B30">
      <w:pPr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/>
          <w:bCs/>
          <w:color w:val="000000"/>
          <w:sz w:val="24"/>
          <w:szCs w:val="24"/>
        </w:rPr>
        <w:t>Robert – Marius CAZANCIUC</w:t>
      </w:r>
    </w:p>
    <w:p w:rsidR="00E52703" w:rsidRPr="00063470" w:rsidRDefault="00E52703" w:rsidP="00576B30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4"/>
          <w:szCs w:val="24"/>
        </w:rPr>
      </w:pPr>
    </w:p>
    <w:p w:rsidR="00B472E8" w:rsidRPr="00063470" w:rsidRDefault="00B472E8" w:rsidP="00576B30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4"/>
          <w:szCs w:val="24"/>
        </w:rPr>
      </w:pPr>
    </w:p>
    <w:p w:rsidR="00D445AB" w:rsidRDefault="00D445AB" w:rsidP="00576B30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4"/>
          <w:szCs w:val="24"/>
        </w:rPr>
      </w:pPr>
    </w:p>
    <w:p w:rsidR="00281E84" w:rsidRPr="00063470" w:rsidRDefault="00E52703" w:rsidP="007B1AB3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Cs/>
          <w:color w:val="000000"/>
          <w:sz w:val="24"/>
          <w:szCs w:val="24"/>
        </w:rPr>
        <w:t>Ministrul Finanţelor Publice,</w:t>
      </w:r>
    </w:p>
    <w:p w:rsidR="00281E84" w:rsidRPr="00063470" w:rsidRDefault="00281E84" w:rsidP="007B1AB3">
      <w:pPr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063470">
        <w:rPr>
          <w:rFonts w:ascii="Arial" w:hAnsi="Arial" w:cs="Arial"/>
          <w:b/>
          <w:bCs/>
          <w:color w:val="000000"/>
          <w:sz w:val="24"/>
          <w:szCs w:val="24"/>
        </w:rPr>
        <w:t>Eugen Orlando TEODOROVICI</w:t>
      </w:r>
    </w:p>
    <w:p w:rsidR="00E52703" w:rsidRPr="009C0864" w:rsidRDefault="00E52703" w:rsidP="007B1AB3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</w:p>
    <w:sectPr w:rsidR="00E52703" w:rsidRPr="009C0864" w:rsidSect="009E2471">
      <w:footerReference w:type="even" r:id="rId10"/>
      <w:footerReference w:type="default" r:id="rId11"/>
      <w:pgSz w:w="12240" w:h="15840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FF" w:rsidRDefault="002223FF">
      <w:r>
        <w:separator/>
      </w:r>
    </w:p>
  </w:endnote>
  <w:endnote w:type="continuationSeparator" w:id="0">
    <w:p w:rsidR="002223FF" w:rsidRDefault="0022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88" w:rsidRDefault="00D50488" w:rsidP="00717C3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50488" w:rsidRDefault="00D50488" w:rsidP="00717C3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88" w:rsidRDefault="00D50488" w:rsidP="00717C3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B7392">
      <w:rPr>
        <w:rStyle w:val="Numrdepagin"/>
        <w:noProof/>
      </w:rPr>
      <w:t>1</w:t>
    </w:r>
    <w:r>
      <w:rPr>
        <w:rStyle w:val="Numrdepagin"/>
      </w:rPr>
      <w:fldChar w:fldCharType="end"/>
    </w:r>
  </w:p>
  <w:p w:rsidR="00D50488" w:rsidRDefault="00D50488" w:rsidP="00717C36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FF" w:rsidRDefault="002223FF">
      <w:r>
        <w:separator/>
      </w:r>
    </w:p>
  </w:footnote>
  <w:footnote w:type="continuationSeparator" w:id="0">
    <w:p w:rsidR="002223FF" w:rsidRDefault="0022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75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497AB8"/>
    <w:multiLevelType w:val="hybridMultilevel"/>
    <w:tmpl w:val="8E30318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FAF65C7"/>
    <w:multiLevelType w:val="hybridMultilevel"/>
    <w:tmpl w:val="1F6CBA9E"/>
    <w:lvl w:ilvl="0" w:tplc="FA82107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2AD3DAB"/>
    <w:multiLevelType w:val="hybridMultilevel"/>
    <w:tmpl w:val="2B06E0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B1893"/>
    <w:multiLevelType w:val="hybridMultilevel"/>
    <w:tmpl w:val="3AF053EC"/>
    <w:lvl w:ilvl="0" w:tplc="EA7C1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B2E67"/>
    <w:multiLevelType w:val="hybridMultilevel"/>
    <w:tmpl w:val="893C249E"/>
    <w:lvl w:ilvl="0" w:tplc="588C58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B1A63"/>
    <w:multiLevelType w:val="hybridMultilevel"/>
    <w:tmpl w:val="B1C67B88"/>
    <w:lvl w:ilvl="0" w:tplc="6E74F2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2D43"/>
    <w:multiLevelType w:val="hybridMultilevel"/>
    <w:tmpl w:val="C1C67602"/>
    <w:lvl w:ilvl="0" w:tplc="8D6617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2134D2"/>
    <w:multiLevelType w:val="hybridMultilevel"/>
    <w:tmpl w:val="D4346ABA"/>
    <w:lvl w:ilvl="0" w:tplc="AF3AED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36"/>
    <w:rsid w:val="000057B8"/>
    <w:rsid w:val="000129C9"/>
    <w:rsid w:val="00014FB5"/>
    <w:rsid w:val="00015A82"/>
    <w:rsid w:val="00021916"/>
    <w:rsid w:val="00022090"/>
    <w:rsid w:val="0003262D"/>
    <w:rsid w:val="00055296"/>
    <w:rsid w:val="000617B4"/>
    <w:rsid w:val="00062427"/>
    <w:rsid w:val="00063470"/>
    <w:rsid w:val="00064754"/>
    <w:rsid w:val="00064862"/>
    <w:rsid w:val="00085C67"/>
    <w:rsid w:val="00092398"/>
    <w:rsid w:val="00093379"/>
    <w:rsid w:val="000B5C49"/>
    <w:rsid w:val="000C0A3C"/>
    <w:rsid w:val="000C5CB1"/>
    <w:rsid w:val="000E0029"/>
    <w:rsid w:val="000E4476"/>
    <w:rsid w:val="0011515F"/>
    <w:rsid w:val="00130838"/>
    <w:rsid w:val="00134321"/>
    <w:rsid w:val="001343AC"/>
    <w:rsid w:val="00160268"/>
    <w:rsid w:val="00162992"/>
    <w:rsid w:val="0016426E"/>
    <w:rsid w:val="00167EA5"/>
    <w:rsid w:val="00185B80"/>
    <w:rsid w:val="001A115A"/>
    <w:rsid w:val="001A5260"/>
    <w:rsid w:val="001B3235"/>
    <w:rsid w:val="001B3A94"/>
    <w:rsid w:val="001B702A"/>
    <w:rsid w:val="001D1A1D"/>
    <w:rsid w:val="001D200C"/>
    <w:rsid w:val="001D3534"/>
    <w:rsid w:val="001D60FE"/>
    <w:rsid w:val="001E778A"/>
    <w:rsid w:val="001F4689"/>
    <w:rsid w:val="001F6FE0"/>
    <w:rsid w:val="001F7409"/>
    <w:rsid w:val="00200092"/>
    <w:rsid w:val="00200ED3"/>
    <w:rsid w:val="0021294D"/>
    <w:rsid w:val="002223FF"/>
    <w:rsid w:val="0022390B"/>
    <w:rsid w:val="00227C23"/>
    <w:rsid w:val="00230EF2"/>
    <w:rsid w:val="002313B0"/>
    <w:rsid w:val="00241C40"/>
    <w:rsid w:val="00246F00"/>
    <w:rsid w:val="00254E34"/>
    <w:rsid w:val="0026535C"/>
    <w:rsid w:val="00281E84"/>
    <w:rsid w:val="002A4E2B"/>
    <w:rsid w:val="002C3F61"/>
    <w:rsid w:val="002D0E77"/>
    <w:rsid w:val="002D0FED"/>
    <w:rsid w:val="002D2CAE"/>
    <w:rsid w:val="002D5BE6"/>
    <w:rsid w:val="00300874"/>
    <w:rsid w:val="00307330"/>
    <w:rsid w:val="0031333A"/>
    <w:rsid w:val="00313995"/>
    <w:rsid w:val="00313F97"/>
    <w:rsid w:val="00321579"/>
    <w:rsid w:val="0032182C"/>
    <w:rsid w:val="00326002"/>
    <w:rsid w:val="00340B2A"/>
    <w:rsid w:val="00344894"/>
    <w:rsid w:val="0035229E"/>
    <w:rsid w:val="00352B3A"/>
    <w:rsid w:val="00352DC6"/>
    <w:rsid w:val="00360EB7"/>
    <w:rsid w:val="00365BA0"/>
    <w:rsid w:val="003704B5"/>
    <w:rsid w:val="00372043"/>
    <w:rsid w:val="003747B1"/>
    <w:rsid w:val="00390FE0"/>
    <w:rsid w:val="00393E05"/>
    <w:rsid w:val="00393F5D"/>
    <w:rsid w:val="00394530"/>
    <w:rsid w:val="00394590"/>
    <w:rsid w:val="003A1677"/>
    <w:rsid w:val="003B45FF"/>
    <w:rsid w:val="003E1D4D"/>
    <w:rsid w:val="003E3D63"/>
    <w:rsid w:val="003E4FF5"/>
    <w:rsid w:val="004038DE"/>
    <w:rsid w:val="00407005"/>
    <w:rsid w:val="004123B9"/>
    <w:rsid w:val="004145B9"/>
    <w:rsid w:val="00415DCD"/>
    <w:rsid w:val="00431010"/>
    <w:rsid w:val="004328DF"/>
    <w:rsid w:val="00442CB7"/>
    <w:rsid w:val="00445962"/>
    <w:rsid w:val="00455075"/>
    <w:rsid w:val="00465B6E"/>
    <w:rsid w:val="004671C6"/>
    <w:rsid w:val="00472195"/>
    <w:rsid w:val="00484228"/>
    <w:rsid w:val="00490B78"/>
    <w:rsid w:val="004A1466"/>
    <w:rsid w:val="004A1BC9"/>
    <w:rsid w:val="004E1A4F"/>
    <w:rsid w:val="00500756"/>
    <w:rsid w:val="005017FA"/>
    <w:rsid w:val="00510209"/>
    <w:rsid w:val="005142AE"/>
    <w:rsid w:val="00517282"/>
    <w:rsid w:val="00523210"/>
    <w:rsid w:val="005300F9"/>
    <w:rsid w:val="0053115F"/>
    <w:rsid w:val="00533F48"/>
    <w:rsid w:val="00537785"/>
    <w:rsid w:val="00540E8B"/>
    <w:rsid w:val="00541892"/>
    <w:rsid w:val="00543094"/>
    <w:rsid w:val="005432FF"/>
    <w:rsid w:val="00555B9F"/>
    <w:rsid w:val="00557472"/>
    <w:rsid w:val="005618F3"/>
    <w:rsid w:val="00571414"/>
    <w:rsid w:val="0057645A"/>
    <w:rsid w:val="00576B30"/>
    <w:rsid w:val="00580779"/>
    <w:rsid w:val="005B13D0"/>
    <w:rsid w:val="005C371C"/>
    <w:rsid w:val="005C6766"/>
    <w:rsid w:val="005D034C"/>
    <w:rsid w:val="005D3425"/>
    <w:rsid w:val="005E6344"/>
    <w:rsid w:val="005F382E"/>
    <w:rsid w:val="0060141B"/>
    <w:rsid w:val="00605E3A"/>
    <w:rsid w:val="00616C75"/>
    <w:rsid w:val="0062250B"/>
    <w:rsid w:val="00637A03"/>
    <w:rsid w:val="006465A8"/>
    <w:rsid w:val="00646F48"/>
    <w:rsid w:val="00655658"/>
    <w:rsid w:val="00656A16"/>
    <w:rsid w:val="00663AA5"/>
    <w:rsid w:val="00671F5E"/>
    <w:rsid w:val="00682434"/>
    <w:rsid w:val="00686128"/>
    <w:rsid w:val="006862C6"/>
    <w:rsid w:val="0068728E"/>
    <w:rsid w:val="006952C1"/>
    <w:rsid w:val="006A1757"/>
    <w:rsid w:val="006A1FE0"/>
    <w:rsid w:val="006A2E89"/>
    <w:rsid w:val="006B0041"/>
    <w:rsid w:val="006B03A7"/>
    <w:rsid w:val="006B601D"/>
    <w:rsid w:val="006C0280"/>
    <w:rsid w:val="006F2F0D"/>
    <w:rsid w:val="00702824"/>
    <w:rsid w:val="00703E01"/>
    <w:rsid w:val="0070447D"/>
    <w:rsid w:val="007123F0"/>
    <w:rsid w:val="00717C36"/>
    <w:rsid w:val="007273DE"/>
    <w:rsid w:val="00734D14"/>
    <w:rsid w:val="00770914"/>
    <w:rsid w:val="007A0643"/>
    <w:rsid w:val="007A26E0"/>
    <w:rsid w:val="007A3BAC"/>
    <w:rsid w:val="007A4393"/>
    <w:rsid w:val="007A4B2F"/>
    <w:rsid w:val="007B1AB3"/>
    <w:rsid w:val="007D76B0"/>
    <w:rsid w:val="007E120E"/>
    <w:rsid w:val="007E131D"/>
    <w:rsid w:val="007E16BA"/>
    <w:rsid w:val="007F0921"/>
    <w:rsid w:val="008023DA"/>
    <w:rsid w:val="00803CC2"/>
    <w:rsid w:val="00810EFA"/>
    <w:rsid w:val="008241A8"/>
    <w:rsid w:val="0082446B"/>
    <w:rsid w:val="008266CD"/>
    <w:rsid w:val="0083041E"/>
    <w:rsid w:val="00846A59"/>
    <w:rsid w:val="008556BD"/>
    <w:rsid w:val="00861A40"/>
    <w:rsid w:val="0086352E"/>
    <w:rsid w:val="0086507E"/>
    <w:rsid w:val="008665AC"/>
    <w:rsid w:val="0087756D"/>
    <w:rsid w:val="008815B5"/>
    <w:rsid w:val="0089107D"/>
    <w:rsid w:val="008956CA"/>
    <w:rsid w:val="0089769E"/>
    <w:rsid w:val="008A6F4F"/>
    <w:rsid w:val="008B7392"/>
    <w:rsid w:val="008D070A"/>
    <w:rsid w:val="008D24AD"/>
    <w:rsid w:val="008F3F5C"/>
    <w:rsid w:val="0090506E"/>
    <w:rsid w:val="00906D59"/>
    <w:rsid w:val="00907CE9"/>
    <w:rsid w:val="0091001E"/>
    <w:rsid w:val="009116C8"/>
    <w:rsid w:val="00911A44"/>
    <w:rsid w:val="00925033"/>
    <w:rsid w:val="00926D86"/>
    <w:rsid w:val="0093591B"/>
    <w:rsid w:val="00945CD8"/>
    <w:rsid w:val="009527EF"/>
    <w:rsid w:val="00955627"/>
    <w:rsid w:val="009567D9"/>
    <w:rsid w:val="00956ED0"/>
    <w:rsid w:val="00961FB2"/>
    <w:rsid w:val="00977CA1"/>
    <w:rsid w:val="00984C67"/>
    <w:rsid w:val="009854FE"/>
    <w:rsid w:val="00987D90"/>
    <w:rsid w:val="00992411"/>
    <w:rsid w:val="00993CFD"/>
    <w:rsid w:val="009A0F59"/>
    <w:rsid w:val="009A6EC4"/>
    <w:rsid w:val="009C0864"/>
    <w:rsid w:val="009C0B05"/>
    <w:rsid w:val="009D796D"/>
    <w:rsid w:val="009E2471"/>
    <w:rsid w:val="009E5C56"/>
    <w:rsid w:val="00A0339B"/>
    <w:rsid w:val="00A07E4D"/>
    <w:rsid w:val="00A150ED"/>
    <w:rsid w:val="00A16A3B"/>
    <w:rsid w:val="00A57F2E"/>
    <w:rsid w:val="00A613D2"/>
    <w:rsid w:val="00A65A21"/>
    <w:rsid w:val="00A67B00"/>
    <w:rsid w:val="00A67CD0"/>
    <w:rsid w:val="00A75F65"/>
    <w:rsid w:val="00A81F11"/>
    <w:rsid w:val="00A84150"/>
    <w:rsid w:val="00A90125"/>
    <w:rsid w:val="00A9229E"/>
    <w:rsid w:val="00AA6748"/>
    <w:rsid w:val="00AB1B86"/>
    <w:rsid w:val="00AC50FD"/>
    <w:rsid w:val="00AC760E"/>
    <w:rsid w:val="00AC7D47"/>
    <w:rsid w:val="00AD3C58"/>
    <w:rsid w:val="00AD5940"/>
    <w:rsid w:val="00AE15A0"/>
    <w:rsid w:val="00AE63DA"/>
    <w:rsid w:val="00AE7E8F"/>
    <w:rsid w:val="00B017AE"/>
    <w:rsid w:val="00B02273"/>
    <w:rsid w:val="00B14C73"/>
    <w:rsid w:val="00B33D3A"/>
    <w:rsid w:val="00B34B9F"/>
    <w:rsid w:val="00B45764"/>
    <w:rsid w:val="00B472E8"/>
    <w:rsid w:val="00B54FFD"/>
    <w:rsid w:val="00B5796B"/>
    <w:rsid w:val="00B653E6"/>
    <w:rsid w:val="00B66299"/>
    <w:rsid w:val="00B7163B"/>
    <w:rsid w:val="00B73E4C"/>
    <w:rsid w:val="00B82E5D"/>
    <w:rsid w:val="00B94732"/>
    <w:rsid w:val="00BA2A09"/>
    <w:rsid w:val="00BA493E"/>
    <w:rsid w:val="00BC3F9C"/>
    <w:rsid w:val="00BC6910"/>
    <w:rsid w:val="00BE1866"/>
    <w:rsid w:val="00BE1C6E"/>
    <w:rsid w:val="00BE2924"/>
    <w:rsid w:val="00BE2995"/>
    <w:rsid w:val="00BF6270"/>
    <w:rsid w:val="00BF630D"/>
    <w:rsid w:val="00C02257"/>
    <w:rsid w:val="00C02539"/>
    <w:rsid w:val="00C07899"/>
    <w:rsid w:val="00C22B01"/>
    <w:rsid w:val="00C31C35"/>
    <w:rsid w:val="00C3550E"/>
    <w:rsid w:val="00C457CB"/>
    <w:rsid w:val="00C53840"/>
    <w:rsid w:val="00C54FE0"/>
    <w:rsid w:val="00C63687"/>
    <w:rsid w:val="00C66A03"/>
    <w:rsid w:val="00C74CCC"/>
    <w:rsid w:val="00C807E1"/>
    <w:rsid w:val="00C92509"/>
    <w:rsid w:val="00CA5FE1"/>
    <w:rsid w:val="00CB2AB3"/>
    <w:rsid w:val="00CB3DF2"/>
    <w:rsid w:val="00CB5092"/>
    <w:rsid w:val="00CB6850"/>
    <w:rsid w:val="00CB7B09"/>
    <w:rsid w:val="00CC23C0"/>
    <w:rsid w:val="00CC6CA6"/>
    <w:rsid w:val="00CC77A4"/>
    <w:rsid w:val="00CD0757"/>
    <w:rsid w:val="00CE229C"/>
    <w:rsid w:val="00CE3773"/>
    <w:rsid w:val="00CF54F0"/>
    <w:rsid w:val="00CF5C31"/>
    <w:rsid w:val="00CF6483"/>
    <w:rsid w:val="00D00DB3"/>
    <w:rsid w:val="00D04C7A"/>
    <w:rsid w:val="00D07483"/>
    <w:rsid w:val="00D22787"/>
    <w:rsid w:val="00D23DC6"/>
    <w:rsid w:val="00D27B71"/>
    <w:rsid w:val="00D445AB"/>
    <w:rsid w:val="00D50488"/>
    <w:rsid w:val="00D55D61"/>
    <w:rsid w:val="00D64619"/>
    <w:rsid w:val="00D771E5"/>
    <w:rsid w:val="00D9362D"/>
    <w:rsid w:val="00D942C7"/>
    <w:rsid w:val="00D96BA7"/>
    <w:rsid w:val="00DA2564"/>
    <w:rsid w:val="00DA53CD"/>
    <w:rsid w:val="00DB273F"/>
    <w:rsid w:val="00DB2AD9"/>
    <w:rsid w:val="00DB7776"/>
    <w:rsid w:val="00E00107"/>
    <w:rsid w:val="00E21BC3"/>
    <w:rsid w:val="00E241C1"/>
    <w:rsid w:val="00E25678"/>
    <w:rsid w:val="00E25822"/>
    <w:rsid w:val="00E2585B"/>
    <w:rsid w:val="00E31CE8"/>
    <w:rsid w:val="00E52703"/>
    <w:rsid w:val="00E61056"/>
    <w:rsid w:val="00E677B3"/>
    <w:rsid w:val="00E87B26"/>
    <w:rsid w:val="00E92FDD"/>
    <w:rsid w:val="00EC5481"/>
    <w:rsid w:val="00EE000A"/>
    <w:rsid w:val="00F10813"/>
    <w:rsid w:val="00F125F3"/>
    <w:rsid w:val="00F15AB5"/>
    <w:rsid w:val="00F2340C"/>
    <w:rsid w:val="00F25297"/>
    <w:rsid w:val="00F429B7"/>
    <w:rsid w:val="00F50767"/>
    <w:rsid w:val="00F56A79"/>
    <w:rsid w:val="00F620CE"/>
    <w:rsid w:val="00F6468D"/>
    <w:rsid w:val="00F64AF8"/>
    <w:rsid w:val="00F64D1D"/>
    <w:rsid w:val="00F65CC2"/>
    <w:rsid w:val="00F71756"/>
    <w:rsid w:val="00F72914"/>
    <w:rsid w:val="00F74021"/>
    <w:rsid w:val="00F7732F"/>
    <w:rsid w:val="00F824CC"/>
    <w:rsid w:val="00F875A1"/>
    <w:rsid w:val="00F8784E"/>
    <w:rsid w:val="00F90980"/>
    <w:rsid w:val="00F92412"/>
    <w:rsid w:val="00F92796"/>
    <w:rsid w:val="00F940AC"/>
    <w:rsid w:val="00FC0819"/>
    <w:rsid w:val="00FC2F4E"/>
    <w:rsid w:val="00FC44F6"/>
    <w:rsid w:val="00FE36F6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05EC-E87C-4235-A922-F82BD858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36"/>
    <w:rPr>
      <w:lang w:eastAsia="en-US"/>
    </w:rPr>
  </w:style>
  <w:style w:type="paragraph" w:styleId="Titlu1">
    <w:name w:val="heading 1"/>
    <w:basedOn w:val="Normal"/>
    <w:next w:val="Normal"/>
    <w:qFormat/>
    <w:rsid w:val="00717C36"/>
    <w:pPr>
      <w:keepNext/>
      <w:snapToGrid w:val="0"/>
      <w:spacing w:line="240" w:lineRule="atLeast"/>
      <w:jc w:val="center"/>
      <w:outlineLvl w:val="0"/>
    </w:pPr>
    <w:rPr>
      <w:rFonts w:ascii="Arial" w:hAnsi="Arial"/>
      <w:b/>
      <w:color w:val="000000"/>
    </w:rPr>
  </w:style>
  <w:style w:type="paragraph" w:styleId="Titlu5">
    <w:name w:val="heading 5"/>
    <w:basedOn w:val="Normal"/>
    <w:next w:val="Normal"/>
    <w:qFormat/>
    <w:rsid w:val="001F7409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val="en-US" w:eastAsia="es-ES"/>
    </w:rPr>
  </w:style>
  <w:style w:type="character" w:default="1" w:styleId="Fontdeparagrafimplicit">
    <w:name w:val="Default Paragraph Font"/>
    <w:aliases w:val=" Caracter Caracter1 Char Char Caracter Caracter"/>
    <w:link w:val="CaracterCaracter1CharChar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Subsol">
    <w:name w:val="footer"/>
    <w:basedOn w:val="Normal"/>
    <w:rsid w:val="00717C36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717C36"/>
  </w:style>
  <w:style w:type="paragraph" w:customStyle="1" w:styleId="CaracterCaracter1CharChar">
    <w:name w:val=" Caracter Caracter1 Char Char"/>
    <w:basedOn w:val="Normal"/>
    <w:link w:val="Fontdeparagrafimplicit"/>
    <w:rsid w:val="00717C36"/>
    <w:rPr>
      <w:sz w:val="24"/>
      <w:szCs w:val="24"/>
      <w:lang w:val="pl-PL" w:eastAsia="pl-PL"/>
    </w:rPr>
  </w:style>
  <w:style w:type="paragraph" w:customStyle="1" w:styleId="CaracterCaracterCaracterCharCharCharChar">
    <w:name w:val=" Caracter Caracter Caracter Char Char Char Char"/>
    <w:basedOn w:val="Normal"/>
    <w:rsid w:val="00717C36"/>
    <w:rPr>
      <w:lang w:val="pl-PL" w:eastAsia="pl-PL"/>
    </w:rPr>
  </w:style>
  <w:style w:type="table" w:styleId="Tabelgril">
    <w:name w:val="Table Grid"/>
    <w:basedOn w:val="TabelNormal"/>
    <w:rsid w:val="003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44F6"/>
    <w:rPr>
      <w:color w:val="0000FF"/>
      <w:u w:val="single"/>
    </w:rPr>
  </w:style>
  <w:style w:type="paragraph" w:styleId="NormalWeb">
    <w:name w:val="Normal (Web)"/>
    <w:basedOn w:val="Normal"/>
    <w:link w:val="NormalWebCaracter"/>
    <w:rsid w:val="00FC44F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rvts6">
    <w:name w:val="rvts6"/>
    <w:basedOn w:val="Fontdeparagrafimplicit"/>
    <w:rsid w:val="00FC44F6"/>
  </w:style>
  <w:style w:type="paragraph" w:customStyle="1" w:styleId="rvps1">
    <w:name w:val="rvps1"/>
    <w:basedOn w:val="Normal"/>
    <w:rsid w:val="00FC44F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rvts7">
    <w:name w:val="rvts7"/>
    <w:basedOn w:val="Fontdeparagrafimplicit"/>
    <w:rsid w:val="00FC44F6"/>
  </w:style>
  <w:style w:type="character" w:customStyle="1" w:styleId="rvts8">
    <w:name w:val="rvts8"/>
    <w:basedOn w:val="Fontdeparagrafimplicit"/>
    <w:rsid w:val="00FC44F6"/>
  </w:style>
  <w:style w:type="character" w:customStyle="1" w:styleId="rvts11">
    <w:name w:val="rvts11"/>
    <w:basedOn w:val="Fontdeparagrafimplicit"/>
    <w:rsid w:val="00FC44F6"/>
  </w:style>
  <w:style w:type="character" w:customStyle="1" w:styleId="rvts12">
    <w:name w:val="rvts12"/>
    <w:basedOn w:val="Fontdeparagrafimplicit"/>
    <w:rsid w:val="00FC44F6"/>
  </w:style>
  <w:style w:type="character" w:customStyle="1" w:styleId="rvts10">
    <w:name w:val="rvts10"/>
    <w:basedOn w:val="Fontdeparagrafimplicit"/>
    <w:rsid w:val="00AA6748"/>
  </w:style>
  <w:style w:type="paragraph" w:styleId="TextnBalon">
    <w:name w:val="Balloon Text"/>
    <w:basedOn w:val="Normal"/>
    <w:semiHidden/>
    <w:rsid w:val="009A6EC4"/>
    <w:rPr>
      <w:rFonts w:ascii="Tahoma" w:hAnsi="Tahoma" w:cs="Tahoma"/>
      <w:sz w:val="16"/>
      <w:szCs w:val="16"/>
    </w:rPr>
  </w:style>
  <w:style w:type="character" w:customStyle="1" w:styleId="NormalWebCaracter">
    <w:name w:val="Normal (Web) Caracter"/>
    <w:link w:val="NormalWeb"/>
    <w:locked/>
    <w:rsid w:val="006465A8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44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874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339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3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7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311653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577023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69630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67693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25838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61833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6049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35232,%20617644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sintact%203.0\cache\Legislatie\temp\00057056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8764-C534-4900-B7AE-3DF84CDD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DE PRESTĂRI SERVICII</vt:lpstr>
      <vt:lpstr>CONTRACT DE PRESTĂRI SERVICII</vt:lpstr>
    </vt:vector>
  </TitlesOfParts>
  <Company/>
  <LinksUpToDate>false</LinksUpToDate>
  <CharactersWithSpaces>5148</CharactersWithSpaces>
  <SharedDoc>false</SharedDoc>
  <HLinks>
    <vt:vector size="12" baseType="variant">
      <vt:variant>
        <vt:i4>3670140</vt:i4>
      </vt:variant>
      <vt:variant>
        <vt:i4>3</vt:i4>
      </vt:variant>
      <vt:variant>
        <vt:i4>0</vt:i4>
      </vt:variant>
      <vt:variant>
        <vt:i4>5</vt:i4>
      </vt:variant>
      <vt:variant>
        <vt:lpwstr>../../../../sintact 3.0/cache/Legislatie/temp/00057056.htm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javascript:OpenDocumentView(35232, 617644);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PRESTĂRI SERVICII</dc:title>
  <dc:subject/>
  <dc:creator>Dana Nica</dc:creator>
  <cp:keywords/>
  <cp:lastModifiedBy>Laurentiu Lungu</cp:lastModifiedBy>
  <cp:revision>2</cp:revision>
  <cp:lastPrinted>2013-04-16T09:06:00Z</cp:lastPrinted>
  <dcterms:created xsi:type="dcterms:W3CDTF">2015-11-04T20:46:00Z</dcterms:created>
  <dcterms:modified xsi:type="dcterms:W3CDTF">2015-11-04T20:46:00Z</dcterms:modified>
</cp:coreProperties>
</file>