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59" w:rsidRPr="00F95359" w:rsidRDefault="00F95359" w:rsidP="00F95359">
      <w:pPr>
        <w:shd w:val="clear" w:color="auto" w:fill="E7E7E7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aps/>
          <w:color w:val="B80000"/>
          <w:kern w:val="36"/>
          <w:sz w:val="27"/>
          <w:szCs w:val="27"/>
          <w:lang w:eastAsia="en-GB"/>
        </w:rPr>
      </w:pPr>
      <w:r w:rsidRPr="00F95359">
        <w:rPr>
          <w:rFonts w:ascii="Tahoma" w:eastAsia="Times New Roman" w:hAnsi="Tahoma" w:cs="Tahoma"/>
          <w:caps/>
          <w:color w:val="B80000"/>
          <w:kern w:val="36"/>
          <w:sz w:val="27"/>
          <w:szCs w:val="27"/>
          <w:lang w:eastAsia="en-GB"/>
        </w:rPr>
        <w:t>OMUNICAT DE PRESA</w:t>
      </w:r>
    </w:p>
    <w:p w:rsidR="00F95359" w:rsidRPr="00F95359" w:rsidRDefault="00F95359" w:rsidP="00F95359">
      <w:pPr>
        <w:shd w:val="clear" w:color="auto" w:fill="F9F3D2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F95359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en-GB"/>
        </w:rPr>
        <w:t>17.12.2015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I.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ziua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17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decembrie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2015,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Plenul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Curții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Constituționale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învestit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temeiul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art.146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lit.d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art.29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nr.47/1992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organizarea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funcţionarea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dezbatere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excepţia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neconstituționalitate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dispozițiilor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art.I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pct.29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nr.138/2014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pentru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nr.134/2010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civilă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precum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pentru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normative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conexe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având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vedere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art.62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nr.24/2000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normele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tehnică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legislativă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pentru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elaborarea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actelor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normative,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constatat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obiect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excepţiei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neconstituţionalitate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reglementarea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corespondentă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bază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anume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art.665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nr.134/2010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civilă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Monitorul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Oficial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I, nr.545 din 3 august 2012.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Soluţia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legislativă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cuprinsă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această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dispoziţie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urma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republicării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nr.134/2010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Monitorul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Oficial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I, nr.247 din 10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2015,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fost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preluată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art.666, text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asupra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căruia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s-a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pronunţat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prezenta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decizie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Art.666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priveşte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esenţă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încuviinţarea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executării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silite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către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executorul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judecătoresc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urma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deliberărilor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Constituțională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cu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majoritate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voturi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admis</w:t>
      </w:r>
      <w:proofErr w:type="spellEnd"/>
      <w:proofErr w:type="gram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excepţia</w:t>
      </w:r>
      <w:proofErr w:type="spellEnd"/>
      <w:proofErr w:type="gram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neconstituţionalitate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constatat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dispoziţiile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art.666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civilă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stabilit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acestea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contravin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prevederilor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art.1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.(4),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prisma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exercitării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către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executorii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judecătoreşti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activităţi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instanţelor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judecătoreşti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precum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art.21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.(3)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art.124,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prisma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faptului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declanşarea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executării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silite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sustrasă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controlului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judecătoresc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iar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acest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o parte,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exigenţele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dreptului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un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echitabil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sub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aspectul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imparţialităţii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independenţei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autorităţii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nu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iar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parte,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înfăptuirea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justiţiei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„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delegată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”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executorului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judecătoresc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asemenea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reţinut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încălcarea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art.147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alin</w:t>
      </w:r>
      <w:proofErr w:type="spellEnd"/>
      <w:proofErr w:type="gram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.(</w:t>
      </w:r>
      <w:proofErr w:type="gram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4)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întrucât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legiuitorul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nu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Decizia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nr.458 din 31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martie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2009,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ignorând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exigenţele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stabilite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aceasta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Decizia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definitivă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general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obligatorie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comunică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două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Parlamentului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Guvernului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instanței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sesizat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Constituțională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respectiv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Judecătoria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Oradea –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Secția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civilă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II.</w:t>
      </w:r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aceeași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Plenul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Curții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Constituționale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învestit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temeiul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art.146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lit.d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art.29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nr.47/1992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organizarea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funcţionarea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dezbatere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excepţia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neconstituționalitate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dispozițiilor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art.24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art.25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nr.554/2004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contenciosului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administrativ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urma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deliberărilor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Constituțională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cu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unanimitate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voturi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admis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excepția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neconstituționalitate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constatat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soluția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legislativă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potrivit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căreia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încheierea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prevăzută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art.24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alin</w:t>
      </w:r>
      <w:proofErr w:type="spellEnd"/>
      <w:proofErr w:type="gram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.(</w:t>
      </w:r>
      <w:proofErr w:type="gram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3)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nr.554/2004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ʺ</w:t>
      </w:r>
      <w:proofErr w:type="spellStart"/>
      <w:r w:rsidRPr="00F9535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definitivă</w:t>
      </w:r>
      <w:proofErr w:type="spellEnd"/>
      <w:r w:rsidRPr="00F9535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" 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neconstituțională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constatat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lipsa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atac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împotriva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încheierii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pronunţate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instanţa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executare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se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aplică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conducătorului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autorităţii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publice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sau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după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caz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obligate o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amendă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20%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salariul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minim brut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economie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întârziere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încalcă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prevederile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art.21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referitoare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accesul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liber la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justiţie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reglementând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restrângere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exerciţiului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acestui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drept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nu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condiţia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proporţionalitate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prevăzută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art.53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.(2) din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Decizia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definitivă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general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obligatorie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și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comunică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două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Camere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Parlamentului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Guvernului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instanțelor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au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sesizat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Constituțională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Argumentele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reţinute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motivarea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soluţiilor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pronunţate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Plenul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Curţii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Constituţionale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prezentate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cuprinsul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deciziilor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care se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vor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Monitorul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Oficial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Partea</w:t>
      </w:r>
      <w:proofErr w:type="spellEnd"/>
      <w:r w:rsidRPr="00F953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I.</w:t>
      </w:r>
    </w:p>
    <w:p w:rsidR="00F95359" w:rsidRPr="00F95359" w:rsidRDefault="00F95359" w:rsidP="00F95359">
      <w:pPr>
        <w:shd w:val="clear" w:color="auto" w:fill="F9F3D2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Compartimentul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relaţii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externe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relaţii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cu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presa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şi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protocol al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Curţii</w:t>
      </w:r>
      <w:proofErr w:type="spellEnd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9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Constituţionale</w:t>
      </w:r>
      <w:proofErr w:type="spellEnd"/>
    </w:p>
    <w:p w:rsidR="007F2D01" w:rsidRDefault="007F2D01">
      <w:bookmarkStart w:id="0" w:name="_GoBack"/>
      <w:bookmarkEnd w:id="0"/>
    </w:p>
    <w:sectPr w:rsidR="007F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59"/>
    <w:rsid w:val="007F2D01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">
    <w:name w:val="date"/>
    <w:basedOn w:val="DefaultParagraphFont"/>
    <w:rsid w:val="00F95359"/>
  </w:style>
  <w:style w:type="paragraph" w:styleId="NormalWeb">
    <w:name w:val="Normal (Web)"/>
    <w:basedOn w:val="Normal"/>
    <w:uiPriority w:val="99"/>
    <w:semiHidden/>
    <w:unhideWhenUsed/>
    <w:rsid w:val="00F9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5359"/>
    <w:rPr>
      <w:b/>
      <w:bCs/>
    </w:rPr>
  </w:style>
  <w:style w:type="character" w:customStyle="1" w:styleId="apple-converted-space">
    <w:name w:val="apple-converted-space"/>
    <w:basedOn w:val="DefaultParagraphFont"/>
    <w:rsid w:val="00F95359"/>
  </w:style>
  <w:style w:type="character" w:styleId="Emphasis">
    <w:name w:val="Emphasis"/>
    <w:basedOn w:val="DefaultParagraphFont"/>
    <w:uiPriority w:val="20"/>
    <w:qFormat/>
    <w:rsid w:val="00F95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">
    <w:name w:val="date"/>
    <w:basedOn w:val="DefaultParagraphFont"/>
    <w:rsid w:val="00F95359"/>
  </w:style>
  <w:style w:type="paragraph" w:styleId="NormalWeb">
    <w:name w:val="Normal (Web)"/>
    <w:basedOn w:val="Normal"/>
    <w:uiPriority w:val="99"/>
    <w:semiHidden/>
    <w:unhideWhenUsed/>
    <w:rsid w:val="00F9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5359"/>
    <w:rPr>
      <w:b/>
      <w:bCs/>
    </w:rPr>
  </w:style>
  <w:style w:type="character" w:customStyle="1" w:styleId="apple-converted-space">
    <w:name w:val="apple-converted-space"/>
    <w:basedOn w:val="DefaultParagraphFont"/>
    <w:rsid w:val="00F95359"/>
  </w:style>
  <w:style w:type="character" w:styleId="Emphasis">
    <w:name w:val="Emphasis"/>
    <w:basedOn w:val="DefaultParagraphFont"/>
    <w:uiPriority w:val="20"/>
    <w:qFormat/>
    <w:rsid w:val="00F95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153">
          <w:marLeft w:val="15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2015-12-17T17:52:00Z</dcterms:created>
  <dcterms:modified xsi:type="dcterms:W3CDTF">2015-12-17T17:53:00Z</dcterms:modified>
</cp:coreProperties>
</file>