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714C9" w:rsidRPr="000714C9" w:rsidTr="000714C9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2"/>
              <w:gridCol w:w="2214"/>
            </w:tblGrid>
            <w:tr w:rsidR="000714C9" w:rsidRPr="000714C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shd w:val="clear" w:color="auto" w:fill="1F7AC0"/>
                    <w:tblCellMar>
                      <w:left w:w="12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9"/>
                    <w:gridCol w:w="990"/>
                    <w:gridCol w:w="963"/>
                    <w:gridCol w:w="2264"/>
                  </w:tblGrid>
                  <w:tr w:rsidR="000714C9" w:rsidRPr="000714C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F7AC0"/>
                        <w:vAlign w:val="center"/>
                        <w:hideMark/>
                      </w:tcPr>
                      <w:p w:rsidR="000714C9" w:rsidRPr="000714C9" w:rsidRDefault="000714C9" w:rsidP="000714C9">
                        <w:pPr>
                          <w:spacing w:before="15"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0"/>
                            <w:szCs w:val="30"/>
                            <w:lang w:eastAsia="en-GB"/>
                          </w:rPr>
                        </w:pPr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0"/>
                            <w:szCs w:val="30"/>
                            <w:lang w:eastAsia="en-GB"/>
                          </w:rPr>
                          <w:t xml:space="preserve">1,5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0"/>
                            <w:szCs w:val="30"/>
                            <w:lang w:eastAsia="en-GB"/>
                          </w:rPr>
                          <w:t>milioane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0"/>
                            <w:szCs w:val="30"/>
                            <w:lang w:eastAsia="en-GB"/>
                          </w:rPr>
                          <w:t xml:space="preserve"> de euro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0"/>
                            <w:szCs w:val="30"/>
                            <w:lang w:eastAsia="en-GB"/>
                          </w:rPr>
                          <w:t>pentru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0"/>
                            <w:szCs w:val="30"/>
                            <w:lang w:eastAsia="en-GB"/>
                          </w:rPr>
                          <w:t xml:space="preserve"> un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0"/>
                            <w:szCs w:val="30"/>
                            <w:lang w:eastAsia="en-GB"/>
                          </w:rPr>
                          <w:t>proiect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0"/>
                            <w:szCs w:val="30"/>
                            <w:lang w:eastAsia="en-GB"/>
                          </w:rPr>
                          <w:t xml:space="preserve"> de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0"/>
                            <w:szCs w:val="30"/>
                            <w:lang w:eastAsia="en-GB"/>
                          </w:rPr>
                          <w:t>cercetare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0"/>
                            <w:szCs w:val="3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0"/>
                            <w:szCs w:val="30"/>
                            <w:lang w:eastAsia="en-GB"/>
                          </w:rPr>
                          <w:t>românesc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F7AC0"/>
                        <w:vAlign w:val="center"/>
                        <w:hideMark/>
                      </w:tcPr>
                      <w:p w:rsidR="000714C9" w:rsidRPr="000714C9" w:rsidRDefault="000714C9" w:rsidP="000714C9">
                        <w:pPr>
                          <w:spacing w:before="15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66CC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205740" cy="205740"/>
                              <wp:effectExtent l="0" t="0" r="3810" b="3810"/>
                              <wp:docPr id="8" name="Picture 8" descr="Urmareste RCE Romania pe RSS">
                                <a:hlinkClick xmlns:a="http://schemas.openxmlformats.org/drawingml/2006/main" r:id="rId6" tgtFrame="&quot;_blank&quot;" tooltip="&quot;Urmareste RCE Romania pe RSS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rmareste RCE Romania pe RSS">
                                        <a:hlinkClick r:id="rId6" tgtFrame="&quot;_blank&quot;" tooltip="&quot;Urmareste RCE Romania pe RSS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" cy="205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66CC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205740" cy="205740"/>
                              <wp:effectExtent l="0" t="0" r="3810" b="3810"/>
                              <wp:docPr id="7" name="Picture 7" descr="Urmareste RCE Romania pe Facebook">
                                <a:hlinkClick xmlns:a="http://schemas.openxmlformats.org/drawingml/2006/main" r:id="rId8" tgtFrame="&quot;_blank&quot;" tooltip="&quot;Urmareste RCE Romania pe Faceboo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Urmareste RCE Romania pe Facebook">
                                        <a:hlinkClick r:id="rId8" tgtFrame="&quot;_blank&quot;" tooltip="&quot;Urmareste RCE Romania pe Faceboo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" cy="205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66CC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205740" cy="205740"/>
                              <wp:effectExtent l="0" t="0" r="3810" b="3810"/>
                              <wp:docPr id="6" name="Picture 6" descr="Urmareste RCE Romania pe Twitter">
                                <a:hlinkClick xmlns:a="http://schemas.openxmlformats.org/drawingml/2006/main" r:id="rId10" tgtFrame="&quot;_blank&quot;" tooltip="&quot;Urmareste RCE Romania pe Twitter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Urmareste RCE Romania pe Twitter">
                                        <a:hlinkClick r:id="rId10" tgtFrame="&quot;_blank&quot;" tooltip="&quot;Urmareste RCE Romania pe Twitter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" cy="205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66CC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205740" cy="205740"/>
                              <wp:effectExtent l="0" t="0" r="3810" b="3810"/>
                              <wp:docPr id="5" name="Picture 5" descr="Contul oficial de Youtube al Reprezentanței Comisiei Europene în România">
                                <a:hlinkClick xmlns:a="http://schemas.openxmlformats.org/drawingml/2006/main" r:id="rId12" tgtFrame="&quot;_blank&quot;" tooltip="&quot;Contul oficial de Youtube al Reprezentanței Comisiei Europene în România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ontul oficial de Youtube al Reprezentanței Comisiei Europene în România">
                                        <a:hlinkClick r:id="rId12" tgtFrame="&quot;_blank&quot;" tooltip="&quot;Contul oficial de Youtube al Reprezentanței Comisiei Europene în România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" cy="205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F7AC0"/>
                        <w:vAlign w:val="center"/>
                        <w:hideMark/>
                      </w:tcPr>
                      <w:p w:rsidR="000714C9" w:rsidRPr="000714C9" w:rsidRDefault="000714C9" w:rsidP="000714C9">
                        <w:pPr>
                          <w:spacing w:before="15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66CC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160020" cy="160020"/>
                              <wp:effectExtent l="0" t="0" r="0" b="0"/>
                              <wp:docPr id="4" name="Picture 4" descr="print this page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print this page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" cy="160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bookmarkStart w:id="0" w:name=""/>
                      <w:p w:rsidR="000714C9" w:rsidRPr="000714C9" w:rsidRDefault="000714C9" w:rsidP="000714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GB"/>
                          </w:rPr>
                        </w:pPr>
                        <w:r w:rsidRPr="000714C9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GB"/>
                          </w:rPr>
                          <w:fldChar w:fldCharType="begin"/>
                        </w:r>
                        <w:r w:rsidRPr="000714C9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GB"/>
                          </w:rPr>
                          <w:instrText xml:space="preserve"> HYPERLINK "javascript:void(0)" \o "" </w:instrText>
                        </w:r>
                        <w:r w:rsidRPr="000714C9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GB"/>
                          </w:rPr>
                          <w:fldChar w:fldCharType="separate"/>
                        </w:r>
                        <w:proofErr w:type="spellStart"/>
                        <w:r w:rsidRPr="000714C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u w:val="single"/>
                            <w:bdr w:val="none" w:sz="0" w:space="0" w:color="auto" w:frame="1"/>
                            <w:lang w:eastAsia="en-GB"/>
                          </w:rPr>
                          <w:t>Partajează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GB"/>
                          </w:rPr>
                          <w:fldChar w:fldCharType="end"/>
                        </w:r>
                        <w:bookmarkEnd w:id="0"/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F7AC0"/>
                        <w:vAlign w:val="center"/>
                        <w:hideMark/>
                      </w:tcPr>
                      <w:p w:rsidR="000714C9" w:rsidRPr="000714C9" w:rsidRDefault="000714C9" w:rsidP="000714C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en-GB"/>
                          </w:rPr>
                        </w:pPr>
                        <w:r w:rsidRPr="000714C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en-GB"/>
                          </w:rPr>
                          <w:t>Top of Form</w:t>
                        </w:r>
                      </w:p>
                      <w:p w:rsidR="000714C9" w:rsidRPr="000714C9" w:rsidRDefault="000714C9" w:rsidP="00071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0714C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6" type="#_x0000_t75" style="width:48pt;height:18pt" o:ole="">
                              <v:imagedata r:id="rId16" o:title=""/>
                            </v:shape>
                            <w:control r:id="rId17" w:name="DefaultOcxName" w:shapeid="_x0000_i1046"/>
                          </w:object>
                        </w:r>
                        <w:r w:rsidRPr="000714C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object w:dxaOrig="1440" w:dyaOrig="1440">
                            <v:shape id="_x0000_i1045" type="#_x0000_t75" style="width:38.4pt;height:20.4pt" o:ole="">
                              <v:imagedata r:id="rId18" o:title=""/>
                            </v:shape>
                            <w:control r:id="rId19" w:name="DefaultOcxName1" w:shapeid="_x0000_i1045"/>
                          </w:object>
                        </w:r>
                      </w:p>
                      <w:p w:rsidR="000714C9" w:rsidRPr="000714C9" w:rsidRDefault="000714C9" w:rsidP="000714C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en-GB"/>
                          </w:rPr>
                        </w:pPr>
                        <w:r w:rsidRPr="000714C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en-GB"/>
                          </w:rPr>
                          <w:t>Bottom of Form</w:t>
                        </w:r>
                      </w:p>
                    </w:tc>
                  </w:tr>
                </w:tbl>
                <w:p w:rsidR="000714C9" w:rsidRPr="000714C9" w:rsidRDefault="000714C9" w:rsidP="00071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0714C9" w:rsidRPr="000714C9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2"/>
                    <w:gridCol w:w="3480"/>
                  </w:tblGrid>
                  <w:tr w:rsidR="000714C9" w:rsidRPr="000714C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FEFEF"/>
                        <w:tcMar>
                          <w:top w:w="375" w:type="dxa"/>
                          <w:left w:w="180" w:type="dxa"/>
                          <w:bottom w:w="90" w:type="dxa"/>
                          <w:right w:w="180" w:type="dxa"/>
                        </w:tcMar>
                        <w:vAlign w:val="center"/>
                        <w:hideMark/>
                      </w:tcPr>
                      <w:p w:rsidR="000714C9" w:rsidRPr="000714C9" w:rsidRDefault="000714C9" w:rsidP="000714C9">
                        <w:pPr>
                          <w:spacing w:before="30" w:after="120" w:line="336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7AC0"/>
                            <w:sz w:val="23"/>
                            <w:szCs w:val="23"/>
                            <w:lang w:eastAsia="en-GB"/>
                          </w:rPr>
                        </w:pPr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7AC0"/>
                            <w:sz w:val="23"/>
                            <w:szCs w:val="23"/>
                            <w:lang w:eastAsia="en-GB"/>
                          </w:rPr>
                          <w:t>04/12/2015</w:t>
                        </w:r>
                      </w:p>
                    </w:tc>
                  </w:tr>
                  <w:tr w:rsidR="000714C9" w:rsidRPr="000714C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FEFEF"/>
                        <w:tcMar>
                          <w:top w:w="60" w:type="dxa"/>
                          <w:left w:w="180" w:type="dxa"/>
                          <w:bottom w:w="60" w:type="dxa"/>
                          <w:right w:w="180" w:type="dxa"/>
                        </w:tcMar>
                        <w:hideMark/>
                      </w:tcPr>
                      <w:p w:rsidR="000714C9" w:rsidRPr="000714C9" w:rsidRDefault="000714C9" w:rsidP="000714C9">
                        <w:pPr>
                          <w:spacing w:before="30" w:after="120" w:line="336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Proiectul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INTERTRAP</w:t>
                        </w:r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propus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de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cercetătoarea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româncă</w:t>
                        </w:r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dr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.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Alida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 Iulia Gabor</w:t>
                        </w:r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 de la 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Universitatea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Babeș-Bolyai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 din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Cluj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va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beneficia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de un grant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în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valoare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de</w:t>
                        </w:r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1,5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milioane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 de euro</w:t>
                        </w:r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, din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partea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Consiliului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 European de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Cercetare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. El are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în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vedere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dezvoltarea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unei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noi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tehnici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de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datare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cu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acuratețe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a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perioadelor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glaciare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și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de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încălzire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globală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, de-a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lungul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unei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perioade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ce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începe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acum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2,5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milioane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de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ani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și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se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termină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în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prezent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FEFEF"/>
                        <w:tcMar>
                          <w:top w:w="60" w:type="dxa"/>
                          <w:left w:w="180" w:type="dxa"/>
                          <w:bottom w:w="60" w:type="dxa"/>
                          <w:right w:w="18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20"/>
                        </w:tblGrid>
                        <w:tr w:rsidR="000714C9" w:rsidRPr="000714C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0714C9" w:rsidRPr="000714C9" w:rsidRDefault="000714C9" w:rsidP="000714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1981200" cy="1432560"/>
                                    <wp:effectExtent l="0" t="0" r="0" b="0"/>
                                    <wp:docPr id="3" name="Picture 3" descr="1,5 milioane de euro pentru un proiect de cercetare românes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1,5 milioane de euro pentru un proiect de cercetare românes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120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714C9" w:rsidRPr="000714C9" w:rsidRDefault="000714C9" w:rsidP="000714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0714C9" w:rsidRPr="000714C9" w:rsidRDefault="000714C9" w:rsidP="00071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6572"/>
                    <w:gridCol w:w="120"/>
                  </w:tblGrid>
                  <w:tr w:rsidR="000714C9" w:rsidRPr="000714C9">
                    <w:trPr>
                      <w:tblCellSpacing w:w="0" w:type="dxa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714C9" w:rsidRPr="000714C9" w:rsidRDefault="000714C9" w:rsidP="000714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25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0714C9" w:rsidRPr="000714C9" w:rsidRDefault="000714C9" w:rsidP="000714C9">
                        <w:pPr>
                          <w:spacing w:before="30" w:after="120" w:line="336" w:lineRule="atLeast"/>
                          <w:ind w:left="60" w:right="6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Carlos Moedas</w:t>
                        </w:r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comisarul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european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pentru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cercetare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știință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și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inovare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, a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declarat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: "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Avem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nevoie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să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ne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păstrăm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cei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mai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talentați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cercetători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în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Europa,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în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paralel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cu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încercarea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de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atragere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a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oamenilor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de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știință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de top din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alte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părți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ale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lumii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. 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Aceste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granturi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ne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garantează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că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cele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mai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bune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idei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ale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omenirii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sunt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dezvoltate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chiar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aici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, de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către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cercetători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și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oameni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de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știință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ce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au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libertatea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și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siguranța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de a-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și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dezvolta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o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carieră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și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ambițiile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pe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continentul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nostru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."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714C9" w:rsidRPr="000714C9" w:rsidRDefault="000714C9" w:rsidP="000714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0714C9" w:rsidRPr="000714C9">
                    <w:trPr>
                      <w:tblCellSpacing w:w="0" w:type="dxa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714C9" w:rsidRPr="000714C9" w:rsidRDefault="000714C9" w:rsidP="000714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ashed" w:sz="6" w:space="0" w:color="CCCCCC"/>
                          <w:left w:val="nil"/>
                          <w:bottom w:val="dashed" w:sz="6" w:space="0" w:color="CCCCCC"/>
                          <w:right w:val="nil"/>
                        </w:tcBorders>
                        <w:shd w:val="clear" w:color="auto" w:fill="EFEFEF"/>
                        <w:tcMar>
                          <w:top w:w="225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0714C9" w:rsidRPr="000714C9" w:rsidRDefault="000714C9" w:rsidP="000714C9">
                        <w:pPr>
                          <w:spacing w:before="30" w:after="120" w:line="336" w:lineRule="atLeast"/>
                          <w:ind w:left="60" w:right="6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Obiectivul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proiectului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este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de a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furniza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detalii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asupra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schimbărilor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climatice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trecute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oferind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astfel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informații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cercetătorilor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care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încearcă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să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înțeleagă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tendințele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actuale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și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viitoare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din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domeniu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.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Nouă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tehnică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va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testa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probe din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toată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lumea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de </w:t>
                        </w:r>
                        <w:r w:rsidRPr="000714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n-GB"/>
                          </w:rPr>
                          <w:t>loess</w:t>
                        </w:r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, o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categorie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de sol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ce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acoperă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aproximativ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10% din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suprafața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Terrei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și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va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integra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diferite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metode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optice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și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spectroscopice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.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714C9" w:rsidRPr="000714C9" w:rsidRDefault="000714C9" w:rsidP="000714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0714C9" w:rsidRPr="000714C9">
                    <w:trPr>
                      <w:tblCellSpacing w:w="0" w:type="dxa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714C9" w:rsidRPr="000714C9" w:rsidRDefault="000714C9" w:rsidP="000714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25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0714C9" w:rsidRPr="000714C9" w:rsidRDefault="000714C9" w:rsidP="000714C9">
                        <w:pPr>
                          <w:spacing w:before="30" w:after="120" w:line="336" w:lineRule="atLeast"/>
                          <w:ind w:left="60" w:right="6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Context:</w:t>
                        </w:r>
                      </w:p>
                      <w:p w:rsidR="000714C9" w:rsidRPr="000714C9" w:rsidRDefault="000714C9" w:rsidP="000714C9">
                        <w:pPr>
                          <w:spacing w:before="30" w:after="120" w:line="336" w:lineRule="atLeast"/>
                          <w:ind w:left="60" w:right="6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Consiliul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European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pentru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Cercetare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(CEC) a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anunțat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vineri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, 4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decembrie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lista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proiectelor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propuse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de </w:t>
                        </w:r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291 de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cercetători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și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oameni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 de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știință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aflați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 la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început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 de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carieră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ce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urmează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a fi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finanțate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prin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programul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 "Starting grants"</w:t>
                        </w:r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.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Finanțarea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acordată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are o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valoare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totală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de </w:t>
                        </w:r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429 de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milioane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 euro</w:t>
                        </w:r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ea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fiind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de maximum </w:t>
                        </w:r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1,5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milioane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 per grant</w:t>
                        </w:r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.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Cercetătorii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vor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putea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astfel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să-și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formeze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propriile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echipe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și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să-și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dezvolte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ideile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inovatoare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.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Granturile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sunt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acordate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prin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pilonul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"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Excelență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în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știință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" al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Programului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european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de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cercetare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și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inovare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Orizont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2020.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714C9" w:rsidRPr="000714C9" w:rsidRDefault="000714C9" w:rsidP="000714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0714C9" w:rsidRPr="000714C9">
                    <w:trPr>
                      <w:tblCellSpacing w:w="0" w:type="dxa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714C9" w:rsidRPr="000714C9" w:rsidRDefault="000714C9" w:rsidP="000714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ashed" w:sz="6" w:space="0" w:color="CCCCCC"/>
                          <w:left w:val="nil"/>
                          <w:bottom w:val="dashed" w:sz="6" w:space="0" w:color="CCCCCC"/>
                          <w:right w:val="nil"/>
                        </w:tcBorders>
                        <w:shd w:val="clear" w:color="auto" w:fill="EFEFEF"/>
                        <w:tcMar>
                          <w:top w:w="225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0714C9" w:rsidRPr="000714C9" w:rsidRDefault="000714C9" w:rsidP="000714C9">
                        <w:pPr>
                          <w:spacing w:before="30" w:after="120" w:line="336" w:lineRule="atLeast"/>
                          <w:ind w:left="60" w:right="6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Persoane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 de contact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pentru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presă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:</w:t>
                        </w:r>
                      </w:p>
                      <w:p w:rsidR="000714C9" w:rsidRPr="000714C9" w:rsidRDefault="000714C9" w:rsidP="000714C9">
                        <w:pPr>
                          <w:spacing w:before="30" w:after="120" w:line="336" w:lineRule="atLeast"/>
                          <w:ind w:left="60" w:right="6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hyperlink r:id="rId21" w:tgtFrame="_blank" w:tooltip="Marcin Mońko" w:history="1">
                          <w:r w:rsidRPr="000714C9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18"/>
                              <w:szCs w:val="18"/>
                              <w:u w:val="single"/>
                              <w:lang w:eastAsia="en-GB"/>
                            </w:rPr>
                            <w:t xml:space="preserve">Marcin </w:t>
                          </w:r>
                          <w:proofErr w:type="spellStart"/>
                          <w:r w:rsidRPr="000714C9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18"/>
                              <w:szCs w:val="18"/>
                              <w:u w:val="single"/>
                              <w:lang w:eastAsia="en-GB"/>
                            </w:rPr>
                            <w:t>Mońko</w:t>
                          </w:r>
                          <w:proofErr w:type="spellEnd"/>
                        </w:hyperlink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 -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Consilier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de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presă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și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comunicare</w:t>
                        </w:r>
                        <w:proofErr w:type="spellEnd"/>
                      </w:p>
                      <w:p w:rsidR="000714C9" w:rsidRPr="000714C9" w:rsidRDefault="000714C9" w:rsidP="000714C9">
                        <w:pPr>
                          <w:spacing w:before="30" w:after="120" w:line="336" w:lineRule="atLeast"/>
                          <w:ind w:left="60" w:right="6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Telefon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: +32 (0) 2 296 66 44</w:t>
                        </w:r>
                      </w:p>
                      <w:p w:rsidR="000714C9" w:rsidRPr="000714C9" w:rsidRDefault="000714C9" w:rsidP="000714C9">
                        <w:pPr>
                          <w:spacing w:before="30" w:after="120" w:line="336" w:lineRule="atLeast"/>
                          <w:ind w:left="60" w:right="6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hyperlink r:id="rId22" w:tgtFrame="_blank" w:tooltip="Madeleine Drielsma" w:history="1">
                          <w:r w:rsidRPr="000714C9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18"/>
                              <w:szCs w:val="18"/>
                              <w:u w:val="single"/>
                              <w:lang w:eastAsia="en-GB"/>
                            </w:rPr>
                            <w:t xml:space="preserve">Madeleine </w:t>
                          </w:r>
                          <w:proofErr w:type="spellStart"/>
                          <w:r w:rsidRPr="000714C9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18"/>
                              <w:szCs w:val="18"/>
                              <w:u w:val="single"/>
                              <w:lang w:eastAsia="en-GB"/>
                            </w:rPr>
                            <w:t>Drielsma</w:t>
                          </w:r>
                          <w:proofErr w:type="spellEnd"/>
                        </w:hyperlink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 -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Consilier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de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presă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și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comunicare</w:t>
                        </w:r>
                        <w:proofErr w:type="spellEnd"/>
                      </w:p>
                      <w:p w:rsidR="000714C9" w:rsidRPr="000714C9" w:rsidRDefault="000714C9" w:rsidP="000714C9">
                        <w:pPr>
                          <w:spacing w:before="30" w:after="120" w:line="336" w:lineRule="atLeast"/>
                          <w:ind w:left="60" w:right="6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Telefon</w:t>
                        </w:r>
                        <w:proofErr w:type="spellEnd"/>
                        <w:r w:rsidRPr="000714C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  <w:t>: +32 (0)2 298 76 31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714C9" w:rsidRPr="000714C9" w:rsidRDefault="000714C9" w:rsidP="000714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0714C9" w:rsidRPr="000714C9" w:rsidRDefault="000714C9" w:rsidP="000714C9">
                  <w:pPr>
                    <w:shd w:val="clear" w:color="auto" w:fill="E2E2E2"/>
                    <w:spacing w:before="240" w:after="105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1F7AC0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0714C9">
                    <w:rPr>
                      <w:rFonts w:ascii="Arial" w:eastAsia="Times New Roman" w:hAnsi="Arial" w:cs="Arial"/>
                      <w:b/>
                      <w:bCs/>
                      <w:color w:val="1F7AC0"/>
                      <w:sz w:val="18"/>
                      <w:szCs w:val="18"/>
                      <w:lang w:eastAsia="en-GB"/>
                    </w:rPr>
                    <w:t>Pagini</w:t>
                  </w:r>
                  <w:proofErr w:type="spellEnd"/>
                  <w:r w:rsidRPr="000714C9">
                    <w:rPr>
                      <w:rFonts w:ascii="Arial" w:eastAsia="Times New Roman" w:hAnsi="Arial" w:cs="Arial"/>
                      <w:b/>
                      <w:bCs/>
                      <w:color w:val="1F7AC0"/>
                      <w:sz w:val="18"/>
                      <w:szCs w:val="18"/>
                      <w:lang w:eastAsia="en-GB"/>
                    </w:rPr>
                    <w:t xml:space="preserve"> Utile</w:t>
                  </w:r>
                </w:p>
                <w:p w:rsidR="000714C9" w:rsidRPr="000714C9" w:rsidRDefault="000714C9" w:rsidP="000714C9">
                  <w:pPr>
                    <w:numPr>
                      <w:ilvl w:val="0"/>
                      <w:numId w:val="1"/>
                    </w:num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hyperlink r:id="rId23" w:tgtFrame="_blank" w:tooltip="Comunicat de presă integral (în engleză)" w:history="1">
                    <w:proofErr w:type="spellStart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Comunicat</w:t>
                    </w:r>
                    <w:proofErr w:type="spellEnd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 xml:space="preserve"> de </w:t>
                    </w:r>
                    <w:proofErr w:type="spellStart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presă</w:t>
                    </w:r>
                    <w:proofErr w:type="spellEnd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 xml:space="preserve"> integral (</w:t>
                    </w:r>
                    <w:proofErr w:type="spellStart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în</w:t>
                    </w:r>
                    <w:proofErr w:type="spellEnd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 xml:space="preserve"> </w:t>
                    </w:r>
                    <w:proofErr w:type="spellStart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engleză</w:t>
                    </w:r>
                    <w:proofErr w:type="spellEnd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)</w:t>
                    </w:r>
                  </w:hyperlink>
                  <w:r w:rsidRPr="000714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Picture 2" descr="http://ec.europa.eu/wel/images/doc_icons/f_pdf_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ec.europa.eu/wel/images/doc_icons/f_pdf_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14C9" w:rsidRPr="000714C9" w:rsidRDefault="000714C9" w:rsidP="000714C9">
                  <w:pPr>
                    <w:numPr>
                      <w:ilvl w:val="0"/>
                      <w:numId w:val="1"/>
                    </w:num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hyperlink r:id="rId25" w:tgtFrame="_blank" w:tooltip="Exemple de proiecte care au primit finanțare" w:history="1">
                    <w:proofErr w:type="spellStart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Exemple</w:t>
                    </w:r>
                    <w:proofErr w:type="spellEnd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 xml:space="preserve"> de </w:t>
                    </w:r>
                    <w:proofErr w:type="spellStart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proiecte</w:t>
                    </w:r>
                    <w:proofErr w:type="spellEnd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 xml:space="preserve"> care au </w:t>
                    </w:r>
                    <w:proofErr w:type="spellStart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primit</w:t>
                    </w:r>
                    <w:proofErr w:type="spellEnd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 xml:space="preserve"> </w:t>
                    </w:r>
                    <w:proofErr w:type="spellStart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finanțare</w:t>
                    </w:r>
                    <w:proofErr w:type="spellEnd"/>
                  </w:hyperlink>
                  <w:r w:rsidRPr="000714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http://ec.europa.eu/wel/images/doc_icons/f_pdf_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ec.europa.eu/wel/images/doc_icons/f_pdf_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14C9" w:rsidRPr="000714C9" w:rsidRDefault="000714C9" w:rsidP="000714C9">
                  <w:pPr>
                    <w:numPr>
                      <w:ilvl w:val="0"/>
                      <w:numId w:val="1"/>
                    </w:num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hyperlink r:id="rId26" w:tgtFrame="_blank" w:tooltip="Pagina de internet dedicată Consiliului European de Cercetare" w:history="1">
                    <w:proofErr w:type="spellStart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Pagina</w:t>
                    </w:r>
                    <w:proofErr w:type="spellEnd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 xml:space="preserve"> de internet </w:t>
                    </w:r>
                    <w:proofErr w:type="spellStart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dedicată</w:t>
                    </w:r>
                    <w:proofErr w:type="spellEnd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 xml:space="preserve"> </w:t>
                    </w:r>
                    <w:proofErr w:type="spellStart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Consiliului</w:t>
                    </w:r>
                    <w:proofErr w:type="spellEnd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 xml:space="preserve"> European de </w:t>
                    </w:r>
                    <w:proofErr w:type="spellStart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Cercetare</w:t>
                    </w:r>
                    <w:proofErr w:type="spellEnd"/>
                  </w:hyperlink>
                </w:p>
                <w:p w:rsidR="000714C9" w:rsidRPr="000714C9" w:rsidRDefault="000714C9" w:rsidP="000714C9">
                  <w:pPr>
                    <w:numPr>
                      <w:ilvl w:val="0"/>
                      <w:numId w:val="1"/>
                    </w:num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hyperlink r:id="rId27" w:tgtFrame="_blank" w:tooltip="Pagina de internet dedicată programului Orizont 2020" w:history="1">
                    <w:proofErr w:type="spellStart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Pagina</w:t>
                    </w:r>
                    <w:proofErr w:type="spellEnd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 xml:space="preserve"> de internet </w:t>
                    </w:r>
                    <w:proofErr w:type="spellStart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dedicată</w:t>
                    </w:r>
                    <w:proofErr w:type="spellEnd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 xml:space="preserve"> </w:t>
                    </w:r>
                    <w:proofErr w:type="spellStart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programului</w:t>
                    </w:r>
                    <w:proofErr w:type="spellEnd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 xml:space="preserve"> </w:t>
                    </w:r>
                    <w:proofErr w:type="spellStart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>Orizont</w:t>
                    </w:r>
                    <w:proofErr w:type="spellEnd"/>
                    <w:r w:rsidRPr="000714C9">
                      <w:rPr>
                        <w:rFonts w:ascii="Times New Roman" w:eastAsia="Times New Roman" w:hAnsi="Times New Roman" w:cs="Times New Roman"/>
                        <w:color w:val="0066CC"/>
                        <w:sz w:val="18"/>
                        <w:szCs w:val="18"/>
                        <w:u w:val="single"/>
                        <w:lang w:eastAsia="en-GB"/>
                      </w:rPr>
                      <w:t xml:space="preserve"> 2020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2184" w:type="dxa"/>
                    <w:jc w:val="righ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4"/>
                  </w:tblGrid>
                  <w:tr w:rsidR="000714C9" w:rsidRPr="000714C9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14C9" w:rsidRPr="000714C9" w:rsidRDefault="000714C9" w:rsidP="000714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0714C9" w:rsidRPr="000714C9" w:rsidRDefault="000714C9" w:rsidP="000714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0714C9" w:rsidRPr="000714C9" w:rsidRDefault="000714C9" w:rsidP="000714C9">
            <w:pPr>
              <w:spacing w:after="0" w:line="20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0714C9" w:rsidRPr="000714C9" w:rsidRDefault="000714C9" w:rsidP="000714C9">
      <w:pPr>
        <w:spacing w:after="0" w:line="240" w:lineRule="auto"/>
        <w:jc w:val="center"/>
        <w:rPr>
          <w:rFonts w:ascii="Verdana" w:eastAsia="Times New Roman" w:hAnsi="Verdana" w:cs="Times New Roman"/>
          <w:color w:val="003399"/>
          <w:sz w:val="19"/>
          <w:szCs w:val="19"/>
          <w:lang w:eastAsia="en-GB"/>
        </w:rPr>
      </w:pPr>
      <w:proofErr w:type="spellStart"/>
      <w:r w:rsidRPr="000714C9">
        <w:rPr>
          <w:rFonts w:ascii="Verdana" w:eastAsia="Times New Roman" w:hAnsi="Verdana" w:cs="Times New Roman"/>
          <w:color w:val="003399"/>
          <w:sz w:val="19"/>
          <w:szCs w:val="19"/>
          <w:lang w:eastAsia="en-GB"/>
        </w:rPr>
        <w:lastRenderedPageBreak/>
        <w:t>Ultima</w:t>
      </w:r>
      <w:proofErr w:type="spellEnd"/>
      <w:r w:rsidRPr="000714C9">
        <w:rPr>
          <w:rFonts w:ascii="Verdana" w:eastAsia="Times New Roman" w:hAnsi="Verdana" w:cs="Times New Roman"/>
          <w:color w:val="003399"/>
          <w:sz w:val="19"/>
          <w:szCs w:val="19"/>
          <w:lang w:eastAsia="en-GB"/>
        </w:rPr>
        <w:t xml:space="preserve"> </w:t>
      </w:r>
      <w:proofErr w:type="spellStart"/>
      <w:r w:rsidRPr="000714C9">
        <w:rPr>
          <w:rFonts w:ascii="Verdana" w:eastAsia="Times New Roman" w:hAnsi="Verdana" w:cs="Times New Roman"/>
          <w:color w:val="003399"/>
          <w:sz w:val="19"/>
          <w:szCs w:val="19"/>
          <w:lang w:eastAsia="en-GB"/>
        </w:rPr>
        <w:t>actualizare</w:t>
      </w:r>
      <w:proofErr w:type="spellEnd"/>
      <w:r w:rsidRPr="000714C9">
        <w:rPr>
          <w:rFonts w:ascii="Verdana" w:eastAsia="Times New Roman" w:hAnsi="Verdana" w:cs="Times New Roman"/>
          <w:color w:val="003399"/>
          <w:sz w:val="19"/>
          <w:szCs w:val="19"/>
          <w:lang w:eastAsia="en-GB"/>
        </w:rPr>
        <w:t>: 04/12/2015  |</w:t>
      </w:r>
      <w:proofErr w:type="spellStart"/>
      <w:r w:rsidRPr="000714C9">
        <w:rPr>
          <w:rFonts w:ascii="Verdana" w:eastAsia="Times New Roman" w:hAnsi="Verdana" w:cs="Times New Roman"/>
          <w:color w:val="003399"/>
          <w:sz w:val="19"/>
          <w:szCs w:val="19"/>
          <w:lang w:eastAsia="en-GB"/>
        </w:rPr>
        <w:fldChar w:fldCharType="begin"/>
      </w:r>
      <w:r w:rsidRPr="000714C9">
        <w:rPr>
          <w:rFonts w:ascii="Verdana" w:eastAsia="Times New Roman" w:hAnsi="Verdana" w:cs="Times New Roman"/>
          <w:color w:val="003399"/>
          <w:sz w:val="19"/>
          <w:szCs w:val="19"/>
          <w:lang w:eastAsia="en-GB"/>
        </w:rPr>
        <w:instrText xml:space="preserve"> HYPERLINK "http://ec.europa.eu/romania/news/04122015_finantare_europeana_cercetare_romaneasca_ro.htm" \l "top" </w:instrText>
      </w:r>
      <w:r w:rsidRPr="000714C9">
        <w:rPr>
          <w:rFonts w:ascii="Verdana" w:eastAsia="Times New Roman" w:hAnsi="Verdana" w:cs="Times New Roman"/>
          <w:color w:val="003399"/>
          <w:sz w:val="19"/>
          <w:szCs w:val="19"/>
          <w:lang w:eastAsia="en-GB"/>
        </w:rPr>
        <w:fldChar w:fldCharType="separate"/>
      </w:r>
      <w:r w:rsidRPr="000714C9">
        <w:rPr>
          <w:rFonts w:ascii="Verdana" w:eastAsia="Times New Roman" w:hAnsi="Verdana" w:cs="Times New Roman"/>
          <w:color w:val="003399"/>
          <w:sz w:val="19"/>
          <w:szCs w:val="19"/>
          <w:u w:val="single"/>
          <w:lang w:eastAsia="en-GB"/>
        </w:rPr>
        <w:t>Încep</w:t>
      </w:r>
      <w:proofErr w:type="spellEnd"/>
      <w:r w:rsidRPr="000714C9">
        <w:rPr>
          <w:rFonts w:ascii="Verdana" w:eastAsia="Times New Roman" w:hAnsi="Verdana" w:cs="Times New Roman"/>
          <w:color w:val="003399"/>
          <w:sz w:val="19"/>
          <w:szCs w:val="19"/>
          <w:lang w:eastAsia="en-GB"/>
        </w:rPr>
        <w:fldChar w:fldCharType="end"/>
      </w:r>
    </w:p>
    <w:p w:rsidR="001F2A44" w:rsidRDefault="001F2A44">
      <w:bookmarkStart w:id="1" w:name="_GoBack"/>
      <w:bookmarkEnd w:id="1"/>
    </w:p>
    <w:sectPr w:rsidR="001F2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323F"/>
    <w:multiLevelType w:val="multilevel"/>
    <w:tmpl w:val="C03C7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C9"/>
    <w:rsid w:val="000714C9"/>
    <w:rsid w:val="001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1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14C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714C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14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14C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714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714C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07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714C9"/>
  </w:style>
  <w:style w:type="paragraph" w:customStyle="1" w:styleId="default">
    <w:name w:val="default"/>
    <w:basedOn w:val="Normal"/>
    <w:rsid w:val="0007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1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14C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714C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14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14C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714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714C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07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714C9"/>
  </w:style>
  <w:style w:type="paragraph" w:customStyle="1" w:styleId="default">
    <w:name w:val="default"/>
    <w:basedOn w:val="Normal"/>
    <w:rsid w:val="0007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20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eprezentanta.comisiei.europene.in.romania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7.wmf"/><Relationship Id="rId26" Type="http://schemas.openxmlformats.org/officeDocument/2006/relationships/hyperlink" Target="https://erc.europa.e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rc-press@ec.europa.e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user/ComisiaEuropeana" TargetMode="External"/><Relationship Id="rId17" Type="http://schemas.openxmlformats.org/officeDocument/2006/relationships/control" Target="activeX/activeX1.xml"/><Relationship Id="rId25" Type="http://schemas.openxmlformats.org/officeDocument/2006/relationships/hyperlink" Target="https://erc.europa.eu/sites/default/files/press_release/files/Examples_ERC_stg_projects_2015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c.europa.eu/romania/rss/rss_ro.rss" TargetMode="External"/><Relationship Id="rId11" Type="http://schemas.openxmlformats.org/officeDocument/2006/relationships/image" Target="media/image3.gif"/><Relationship Id="rId24" Type="http://schemas.openxmlformats.org/officeDocument/2006/relationships/image" Target="media/image9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hyperlink" Target="https://erc.europa.eu/sites/default/files/press_release/files/erc_press_release_stg2015_results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witter.com/RCERomania" TargetMode="External"/><Relationship Id="rId19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javascript:window.print()" TargetMode="External"/><Relationship Id="rId22" Type="http://schemas.openxmlformats.org/officeDocument/2006/relationships/hyperlink" Target="mailto:erc-press@ec.europa.eu" TargetMode="External"/><Relationship Id="rId27" Type="http://schemas.openxmlformats.org/officeDocument/2006/relationships/hyperlink" Target="http://ec.europa.eu/programmes/horizon2020/en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2015-12-06T13:02:00Z</dcterms:created>
  <dcterms:modified xsi:type="dcterms:W3CDTF">2015-12-06T13:03:00Z</dcterms:modified>
</cp:coreProperties>
</file>