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0527E4" w:rsidRPr="000527E4" w:rsidTr="000527E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shd w:val="clear" w:color="auto" w:fill="1F7AC0"/>
              <w:tblCellMar>
                <w:left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2648"/>
              <w:gridCol w:w="2272"/>
            </w:tblGrid>
            <w:tr w:rsidR="000527E4" w:rsidRPr="000527E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F7AC0"/>
                  <w:vAlign w:val="center"/>
                  <w:hideMark/>
                </w:tcPr>
                <w:p w:rsidR="000527E4" w:rsidRPr="000527E4" w:rsidRDefault="000527E4" w:rsidP="000527E4">
                  <w:pPr>
                    <w:spacing w:before="1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10820" cy="210820"/>
                        <wp:effectExtent l="0" t="0" r="0" b="0"/>
                        <wp:docPr id="8" name="Picture 8" descr="Urmareste RCE Romania pe RSS">
                          <a:hlinkClick xmlns:a="http://schemas.openxmlformats.org/drawingml/2006/main" r:id="rId6" tgtFrame="&quot;_blank&quot;" tooltip="&quot;Urmareste RCE Romania pe RS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rmareste RCE Romania pe RSS">
                                  <a:hlinkClick r:id="rId6" tgtFrame="&quot;_blank&quot;" tooltip="&quot;Urmareste RCE Romania pe RS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10820" cy="210820"/>
                        <wp:effectExtent l="0" t="0" r="0" b="0"/>
                        <wp:docPr id="7" name="Picture 7" descr="Urmareste RCE Romania pe Facebook">
                          <a:hlinkClick xmlns:a="http://schemas.openxmlformats.org/drawingml/2006/main" r:id="rId8" tgtFrame="&quot;_blank&quot;" tooltip="&quot;Urmareste RCE Romania pe Faceboo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rmareste RCE Romania pe Facebook">
                                  <a:hlinkClick r:id="rId8" tgtFrame="&quot;_blank&quot;" tooltip="&quot;Urmareste RCE Romania pe Faceboo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10820" cy="210820"/>
                        <wp:effectExtent l="0" t="0" r="0" b="0"/>
                        <wp:docPr id="6" name="Picture 6" descr="Urmareste RCE Romania pe Twitter">
                          <a:hlinkClick xmlns:a="http://schemas.openxmlformats.org/drawingml/2006/main" r:id="rId10" tgtFrame="&quot;_blank&quot;" tooltip="&quot;Urmareste RCE Romania pe Twitt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rmareste RCE Romania pe Twitter">
                                  <a:hlinkClick r:id="rId10" tgtFrame="&quot;_blank&quot;" tooltip="&quot;Urmareste RCE Romania pe Twitt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10820" cy="210820"/>
                        <wp:effectExtent l="0" t="0" r="0" b="0"/>
                        <wp:docPr id="5" name="Picture 5" descr="Contul oficial de Youtube al Reprezentanței Comisiei Europene în România">
                          <a:hlinkClick xmlns:a="http://schemas.openxmlformats.org/drawingml/2006/main" r:id="rId12" tgtFrame="&quot;_blank&quot;" tooltip="&quot;Contul oficial de Youtube al Reprezentanței Comisiei Europene în Români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ntul oficial de Youtube al Reprezentanței Comisiei Europene în România">
                                  <a:hlinkClick r:id="rId12" tgtFrame="&quot;_blank&quot;" tooltip="&quot;Contul oficial de Youtube al Reprezentanței Comisiei Europene în Români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F7AC0"/>
                  <w:vAlign w:val="center"/>
                  <w:hideMark/>
                </w:tcPr>
                <w:p w:rsidR="000527E4" w:rsidRPr="000527E4" w:rsidRDefault="000527E4" w:rsidP="000527E4">
                  <w:pPr>
                    <w:spacing w:before="1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63830" cy="163830"/>
                        <wp:effectExtent l="0" t="0" r="7620" b="7620"/>
                        <wp:docPr id="4" name="Picture 4" descr="print this page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int this page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bookmarkStart w:id="0" w:name=""/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</w:pPr>
                  <w:r w:rsidRPr="000527E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  <w:fldChar w:fldCharType="begin"/>
                  </w:r>
                  <w:r w:rsidRPr="000527E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  <w:instrText xml:space="preserve"> HYPERLINK "javascript:void(0)" \o "" </w:instrText>
                  </w:r>
                  <w:r w:rsidRPr="000527E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  <w:fldChar w:fldCharType="separate"/>
                  </w:r>
                  <w:proofErr w:type="spellStart"/>
                  <w:r w:rsidRPr="000527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  <w:bdr w:val="none" w:sz="0" w:space="0" w:color="auto" w:frame="1"/>
                      <w:lang w:eastAsia="en-GB"/>
                    </w:rPr>
                    <w:t>Partajează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  <w:fldChar w:fldCharType="end"/>
                  </w:r>
                  <w:bookmarkEnd w:id="0"/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F7AC0"/>
                  <w:vAlign w:val="center"/>
                  <w:hideMark/>
                </w:tcPr>
                <w:p w:rsidR="000527E4" w:rsidRPr="000527E4" w:rsidRDefault="000527E4" w:rsidP="000527E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</w:pPr>
                  <w:r w:rsidRPr="000527E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  <w:t>Top of Form</w:t>
                  </w:r>
                </w:p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527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GB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48pt;height:18pt" o:ole="">
                        <v:imagedata r:id="rId16" o:title=""/>
                      </v:shape>
                      <w:control r:id="rId17" w:name="DefaultOcxName" w:shapeid="_x0000_i1046"/>
                    </w:object>
                  </w:r>
                  <w:r w:rsidRPr="000527E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GB"/>
                    </w:rPr>
                    <w:object w:dxaOrig="225" w:dyaOrig="225">
                      <v:shape id="_x0000_i1045" type="#_x0000_t75" style="width:38.3pt;height:20.3pt" o:ole="">
                        <v:imagedata r:id="rId18" o:title=""/>
                      </v:shape>
                      <w:control r:id="rId19" w:name="DefaultOcxName1" w:shapeid="_x0000_i1045"/>
                    </w:object>
                  </w:r>
                </w:p>
                <w:p w:rsidR="000527E4" w:rsidRPr="000527E4" w:rsidRDefault="000527E4" w:rsidP="000527E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</w:pPr>
                  <w:r w:rsidRPr="000527E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  <w:t>Bottom of Form</w:t>
                  </w:r>
                </w:p>
              </w:tc>
            </w:tr>
          </w:tbl>
          <w:p w:rsidR="000527E4" w:rsidRPr="000527E4" w:rsidRDefault="000527E4" w:rsidP="000527E4">
            <w:pPr>
              <w:spacing w:after="0" w:line="20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527E4" w:rsidRPr="000527E4" w:rsidTr="000527E4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8"/>
              <w:gridCol w:w="3572"/>
            </w:tblGrid>
            <w:tr w:rsidR="000527E4" w:rsidRPr="000527E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375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0527E4" w:rsidRPr="000527E4" w:rsidRDefault="000527E4" w:rsidP="000527E4">
                  <w:pPr>
                    <w:spacing w:before="30" w:after="120" w:line="336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F7AC0"/>
                      <w:sz w:val="23"/>
                      <w:szCs w:val="23"/>
                      <w:lang w:eastAsia="en-GB"/>
                    </w:rPr>
                  </w:pPr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color w:val="1F7AC0"/>
                      <w:sz w:val="23"/>
                      <w:szCs w:val="23"/>
                      <w:lang w:eastAsia="en-GB"/>
                    </w:rPr>
                    <w:t>27/11/2015</w:t>
                  </w:r>
                </w:p>
              </w:tc>
            </w:tr>
            <w:tr w:rsidR="000527E4" w:rsidRPr="000527E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hideMark/>
                </w:tcPr>
                <w:p w:rsidR="000527E4" w:rsidRPr="000527E4" w:rsidRDefault="000527E4" w:rsidP="000527E4">
                  <w:pPr>
                    <w:spacing w:before="30" w:after="12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Reprezentanța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Comisiei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Europene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România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lansat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,  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data de 24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noiembrie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2015, "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Monitorul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Educației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Formării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",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ediția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2015,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prezența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domnului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</w:t>
                  </w:r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Adrian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Curaj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ministrul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educației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cercetării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științifice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dnei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Ligia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Deca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consilier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stat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cadrul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Administrației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Prezidențiale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0527E4" w:rsidRPr="000527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527E4" w:rsidRPr="000527E4" w:rsidRDefault="000527E4" w:rsidP="00052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2039620" cy="1430020"/>
                              <wp:effectExtent l="0" t="0" r="0" b="0"/>
                              <wp:docPr id="3" name="Picture 3" descr="România: cea mai mică investiție în educație din U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România: cea mai mică investiție în educație din U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9620" cy="143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0527E4" w:rsidRPr="000527E4" w:rsidRDefault="000527E4" w:rsidP="000527E4">
            <w:pPr>
              <w:spacing w:after="0" w:line="203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780"/>
              <w:gridCol w:w="120"/>
            </w:tblGrid>
            <w:tr w:rsidR="000527E4" w:rsidRPr="000527E4">
              <w:trPr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"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Există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o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legatură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directă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între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calitatea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educației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dintr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-un stat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membru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nivelul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lui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dezvoltare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economică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.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Dacă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ne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uităm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gram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la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România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vom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vedea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are</w:t>
                  </w:r>
                  <w:proofErr w:type="gram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mai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mare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creștere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economică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din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Uniunea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Europeană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.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Provocarea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este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de a traduce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această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creștere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economică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într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-o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creștere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nivelului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trai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al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cetățenilor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.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Asta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pentru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România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dezvoltat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un model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competitivitate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bazat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pe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costul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mic al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forței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muncă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pe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salarii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mici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. Ori,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oamenii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își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doresc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să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câștige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mai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bine,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aceea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este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nevoie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de un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nou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model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creștere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economică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bazat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pe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domenii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cu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valoare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adăugată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mare,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astfel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încât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salariile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să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poată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crește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fără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a se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pierde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competitivitatea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n-GB"/>
                    </w:rPr>
                    <w:t>"</w:t>
                  </w:r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declarat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dna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Angela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Filote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șeful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Reprezentanței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Comisiei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Europene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România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la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eveniment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527E4" w:rsidRPr="000527E4">
              <w:trPr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nil"/>
                    <w:bottom w:val="dashed" w:sz="6" w:space="0" w:color="CCCCCC"/>
                    <w:right w:val="nil"/>
                  </w:tcBorders>
                  <w:shd w:val="clear" w:color="auto" w:fill="EFEFEF"/>
                  <w:tcMar>
                    <w:top w:w="225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Raportul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pentru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România</w:t>
                  </w:r>
                  <w:proofErr w:type="spellEnd"/>
                </w:p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Potrivit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datelor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din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raport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rata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finalizare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studiilor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universitare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este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continuă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creștere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ultimii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patru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ajungând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la 25%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2014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aflându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-se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drumul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cel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bun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privește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îndeplinirea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obiectivului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național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stabilit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cadrul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Strategiei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Europa 2020 (26,7%).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asemenea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procentul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participare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profesorilor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la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cursuri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formare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profesională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este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aproape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sau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chiar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peste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media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europeană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ansamblu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(83</w:t>
                  </w:r>
                  <w:proofErr w:type="gram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,3</w:t>
                  </w:r>
                  <w:proofErr w:type="gram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% vs 84,6%),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privește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cursurile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medii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multiculturale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(18,2% vs 13,2%)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sau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competențele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TIC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predare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(60,5% vs 51%).</w:t>
                  </w:r>
                </w:p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Raportul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arată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însă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rata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abandonului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școlar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este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peste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media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europeană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(18.1%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față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11.1%),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participarea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la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procesul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învățare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parcursul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vieții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este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mult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sub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această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medie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(1.5%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comparativ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cu 10.7%),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iar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procentul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populație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cu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studii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universitare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(25%)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plasează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România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penultimul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loc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plan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european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(la o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medie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europeană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37.9%).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Procentele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elevi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cu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vârsta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15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cu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competențe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reduse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domeniul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citirii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(37</w:t>
                  </w:r>
                  <w:proofErr w:type="gram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,3</w:t>
                  </w:r>
                  <w:proofErr w:type="gram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%),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matematicii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(40,8%)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al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altor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discipline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științifice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(37,3%)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sunt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aproximativ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dublul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celor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medii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înregistrate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plan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european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(17,8, 22,1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respectiv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16,6%).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Iar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bugetul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alocat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educației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ca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procent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din PIB,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este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cel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mai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scăzut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din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întreaga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Uniune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Europeană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(2</w:t>
                  </w:r>
                  <w:proofErr w:type="gram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,8</w:t>
                  </w:r>
                  <w:proofErr w:type="gram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%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față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media UE de 5%).</w:t>
                  </w:r>
                </w:p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raport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se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subliniază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faptul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disponibilitatea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accesul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la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servicii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educație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îngrijire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copiilor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sunt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limitate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mai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ales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zonele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rurale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ceea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privește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comunitatea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roma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. </w:t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527E4" w:rsidRPr="000527E4">
              <w:trPr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Context</w:t>
                  </w:r>
                </w:p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Monitorul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Educației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Formării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2015 (MEF)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este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la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patra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ediție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reflectand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evoluția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sistemelor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europene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educație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formare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prin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analizarea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unei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game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largi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date. El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măsoară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progresele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realizate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Europa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lastRenderedPageBreak/>
                    <w:t>îndeplinirea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obiectivului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principal al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Strategiei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Europa 2020 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fldChar w:fldCharType="begin"/>
                  </w:r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instrText xml:space="preserve"> HYPERLINK "http://ec.europa.eu/europe2020/targets/eu-targets/index_ro.htm" \o "în domeniul educației" \t "_blank" </w:instrText>
                  </w:r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fldChar w:fldCharType="separate"/>
                  </w:r>
                  <w:r w:rsidRPr="000527E4">
                    <w:rPr>
                      <w:rFonts w:ascii="Times New Roman" w:eastAsia="Times New Roman" w:hAnsi="Times New Roman" w:cs="Times New Roman"/>
                      <w:color w:val="0066CC"/>
                      <w:sz w:val="18"/>
                      <w:szCs w:val="18"/>
                      <w:u w:val="single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color w:val="0066CC"/>
                      <w:sz w:val="18"/>
                      <w:szCs w:val="18"/>
                      <w:u w:val="single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color w:val="0066CC"/>
                      <w:sz w:val="18"/>
                      <w:szCs w:val="18"/>
                      <w:u w:val="single"/>
                      <w:lang w:eastAsia="en-GB"/>
                    </w:rPr>
                    <w:t>domeniul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color w:val="0066CC"/>
                      <w:sz w:val="18"/>
                      <w:szCs w:val="18"/>
                      <w:u w:val="single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color w:val="0066CC"/>
                      <w:sz w:val="18"/>
                      <w:szCs w:val="18"/>
                      <w:u w:val="single"/>
                      <w:lang w:eastAsia="en-GB"/>
                    </w:rPr>
                    <w:t>educației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fldChar w:fldCharType="end"/>
                  </w:r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care face parte din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cadrul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mai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amplu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al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strategiei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pentru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creștere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locuri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muncă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UE. </w:t>
                  </w:r>
                </w:p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Studiul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cuprinde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o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comparație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între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țări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douăzeci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opt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rapoarte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țară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aprofundate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precum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și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</w:t>
                  </w:r>
                  <w:hyperlink r:id="rId21" w:tgtFrame="_blank" w:tooltip="o pagină web cu date și informații suplimentare" w:history="1"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o </w:t>
                    </w:r>
                    <w:proofErr w:type="spellStart"/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pagină</w:t>
                    </w:r>
                    <w:proofErr w:type="spellEnd"/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web cu date </w:t>
                    </w:r>
                    <w:proofErr w:type="spellStart"/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și</w:t>
                    </w:r>
                    <w:proofErr w:type="spellEnd"/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informații</w:t>
                    </w:r>
                    <w:proofErr w:type="spellEnd"/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suplimentare</w:t>
                    </w:r>
                    <w:proofErr w:type="spellEnd"/>
                  </w:hyperlink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527E4" w:rsidRPr="000527E4">
              <w:trPr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nil"/>
                    <w:bottom w:val="dashed" w:sz="6" w:space="0" w:color="CCCCCC"/>
                    <w:right w:val="nil"/>
                  </w:tcBorders>
                  <w:shd w:val="clear" w:color="auto" w:fill="EFEFEF"/>
                  <w:tcMar>
                    <w:top w:w="225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Persoane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de contact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pentru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presă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:</w:t>
                  </w:r>
                </w:p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hyperlink r:id="rId22" w:tgtFrame="_blank" w:tooltip="Nathalie VANDYSTADT" w:history="1"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Nathalie VANDYSTADT</w:t>
                    </w:r>
                  </w:hyperlink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(+32 2 296 70 83)</w:t>
                  </w:r>
                </w:p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hyperlink r:id="rId23" w:tgtFrame="_blank" w:tooltip="Mirna TALKO" w:history="1"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Mirna TALKO</w:t>
                    </w:r>
                  </w:hyperlink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(+32 2 298 72 78)</w:t>
                  </w:r>
                </w:p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hyperlink r:id="rId24" w:tgtFrame="_blank" w:tooltip="Mihai Roșioru" w:history="1"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Mihai </w:t>
                    </w:r>
                    <w:proofErr w:type="spellStart"/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Roșioru</w:t>
                    </w:r>
                    <w:proofErr w:type="spellEnd"/>
                  </w:hyperlink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(+40724232197)</w:t>
                  </w:r>
                </w:p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Întrebări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din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partea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publicului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larg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:</w:t>
                  </w:r>
                </w:p>
                <w:p w:rsidR="000527E4" w:rsidRPr="000527E4" w:rsidRDefault="000527E4" w:rsidP="000527E4">
                  <w:pPr>
                    <w:spacing w:before="30" w:after="120" w:line="336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hyperlink r:id="rId25" w:tgtFrame="_blank" w:tooltip="Europe Direct" w:history="1"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Europe Direct</w:t>
                    </w:r>
                  </w:hyperlink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 la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numărul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telefon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</w:t>
                  </w:r>
                  <w:hyperlink r:id="rId26" w:tgtFrame="_blank" w:tooltip="00 800 67 89 10 11" w:history="1"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00 800 67 89 10 11</w:t>
                    </w:r>
                  </w:hyperlink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sau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prin</w:t>
                  </w:r>
                  <w:proofErr w:type="spellEnd"/>
                  <w:r w:rsidRPr="000527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</w:t>
                  </w:r>
                  <w:hyperlink r:id="rId27" w:tgtFrame="_blank" w:tooltip="email" w:history="1">
                    <w:r w:rsidRPr="000527E4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email</w:t>
                    </w:r>
                  </w:hyperlink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27E4" w:rsidRPr="000527E4" w:rsidRDefault="000527E4" w:rsidP="0005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0527E4" w:rsidRPr="000527E4" w:rsidRDefault="000527E4" w:rsidP="000527E4">
            <w:pPr>
              <w:shd w:val="clear" w:color="auto" w:fill="E2E2E2"/>
              <w:spacing w:before="240" w:after="105" w:line="203" w:lineRule="atLeast"/>
              <w:outlineLvl w:val="2"/>
              <w:rPr>
                <w:rFonts w:ascii="Arial" w:eastAsia="Times New Roman" w:hAnsi="Arial" w:cs="Arial"/>
                <w:b/>
                <w:bCs/>
                <w:color w:val="1F7AC0"/>
                <w:sz w:val="18"/>
                <w:szCs w:val="18"/>
                <w:lang w:eastAsia="en-GB"/>
              </w:rPr>
            </w:pPr>
            <w:proofErr w:type="spellStart"/>
            <w:r w:rsidRPr="000527E4">
              <w:rPr>
                <w:rFonts w:ascii="Arial" w:eastAsia="Times New Roman" w:hAnsi="Arial" w:cs="Arial"/>
                <w:b/>
                <w:bCs/>
                <w:color w:val="1F7AC0"/>
                <w:sz w:val="18"/>
                <w:szCs w:val="18"/>
                <w:lang w:eastAsia="en-GB"/>
              </w:rPr>
              <w:t>Pagini</w:t>
            </w:r>
            <w:proofErr w:type="spellEnd"/>
            <w:r w:rsidRPr="000527E4">
              <w:rPr>
                <w:rFonts w:ascii="Arial" w:eastAsia="Times New Roman" w:hAnsi="Arial" w:cs="Arial"/>
                <w:b/>
                <w:bCs/>
                <w:color w:val="1F7AC0"/>
                <w:sz w:val="18"/>
                <w:szCs w:val="18"/>
                <w:lang w:eastAsia="en-GB"/>
              </w:rPr>
              <w:t xml:space="preserve"> Utile</w:t>
            </w:r>
          </w:p>
          <w:p w:rsidR="000527E4" w:rsidRPr="000527E4" w:rsidRDefault="000527E4" w:rsidP="000527E4">
            <w:pPr>
              <w:numPr>
                <w:ilvl w:val="0"/>
                <w:numId w:val="1"/>
              </w:num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28" w:tgtFrame="_blank" w:tooltip="Eveniment de lansare a raportului pentru România" w:history="1"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Eveniment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de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lansare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a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raportului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pentru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România</w:t>
              </w:r>
              <w:proofErr w:type="spellEnd"/>
            </w:hyperlink>
          </w:p>
          <w:p w:rsidR="000527E4" w:rsidRPr="000527E4" w:rsidRDefault="000527E4" w:rsidP="000527E4">
            <w:pPr>
              <w:numPr>
                <w:ilvl w:val="0"/>
                <w:numId w:val="1"/>
              </w:num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29" w:tgtFrame="_blank" w:tooltip="Comunicat de presă integral pe tema MEF" w:history="1"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Comunicat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de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presă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integral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pe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tema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MEF</w:t>
              </w:r>
            </w:hyperlink>
          </w:p>
          <w:p w:rsidR="000527E4" w:rsidRPr="000527E4" w:rsidRDefault="000527E4" w:rsidP="000527E4">
            <w:pPr>
              <w:numPr>
                <w:ilvl w:val="0"/>
                <w:numId w:val="1"/>
              </w:num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30" w:tgtFrame="_blank" w:tooltip="Înregistrarea conferinței de presă susținute de comisarul european Tibor NAVRACSICS, responsabil pentru educație, cultură, tineret și sport" w:history="1"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Înregistrarea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conferinței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de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presă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susținute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de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comisarul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european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Tibor NAVRACSICS,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responsabil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pentru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educație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,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cultură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,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tineret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și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sport</w:t>
              </w:r>
            </w:hyperlink>
          </w:p>
          <w:p w:rsidR="000527E4" w:rsidRPr="000527E4" w:rsidRDefault="000527E4" w:rsidP="000527E4">
            <w:pPr>
              <w:numPr>
                <w:ilvl w:val="0"/>
                <w:numId w:val="1"/>
              </w:num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31" w:tgtFrame="_blank" w:tooltip="Monitorul educației și formării 2015" w:history="1"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Monitorul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educației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și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formării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2015</w:t>
              </w:r>
            </w:hyperlink>
            <w:r w:rsidRPr="000527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http://ec.europa.eu/wel/images/doc_icons/f_pdf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.europa.eu/wel/images/doc_icons/f_pdf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7E4" w:rsidRPr="000527E4" w:rsidRDefault="000527E4" w:rsidP="000527E4">
            <w:pPr>
              <w:numPr>
                <w:ilvl w:val="0"/>
                <w:numId w:val="1"/>
              </w:num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33" w:tgtFrame="_blank" w:tooltip="Raport de țară aprofundat - România" w:history="1"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Raport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de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țară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aprofundat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-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România</w:t>
              </w:r>
              <w:proofErr w:type="spellEnd"/>
            </w:hyperlink>
            <w:r w:rsidRPr="000527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http://ec.europa.eu/wel/images/doc_icons/f_pdf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c.europa.eu/wel/images/doc_icons/f_pdf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7E4" w:rsidRPr="000527E4" w:rsidRDefault="000527E4" w:rsidP="000527E4">
            <w:pPr>
              <w:numPr>
                <w:ilvl w:val="0"/>
                <w:numId w:val="1"/>
              </w:num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34" w:tgtFrame="_blank" w:tooltip="Pagina de internet privind Monitorul Educației și Formării" w:history="1"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Pagina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de internet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privind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Monitorul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Educației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și</w:t>
              </w:r>
              <w:proofErr w:type="spellEnd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0527E4">
                <w:rPr>
                  <w:rFonts w:ascii="Verdana" w:eastAsia="Times New Roman" w:hAnsi="Verdana" w:cs="Times New Roman"/>
                  <w:color w:val="0066CC"/>
                  <w:sz w:val="18"/>
                  <w:szCs w:val="18"/>
                  <w:u w:val="single"/>
                  <w:lang w:eastAsia="en-GB"/>
                </w:rPr>
                <w:t>Formării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7E4" w:rsidRPr="000527E4" w:rsidRDefault="000527E4" w:rsidP="0005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676C2" w:rsidRDefault="00F676C2">
      <w:bookmarkStart w:id="1" w:name="_GoBack"/>
      <w:bookmarkEnd w:id="1"/>
    </w:p>
    <w:sectPr w:rsidR="00F6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1DF"/>
    <w:multiLevelType w:val="multilevel"/>
    <w:tmpl w:val="88709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E4"/>
    <w:rsid w:val="000527E4"/>
    <w:rsid w:val="00F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2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27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27E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27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27E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527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27E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05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527E4"/>
  </w:style>
  <w:style w:type="paragraph" w:customStyle="1" w:styleId="box">
    <w:name w:val="box"/>
    <w:basedOn w:val="Normal"/>
    <w:rsid w:val="0005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2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27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27E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27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27E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527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27E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05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527E4"/>
  </w:style>
  <w:style w:type="paragraph" w:customStyle="1" w:styleId="box">
    <w:name w:val="box"/>
    <w:basedOn w:val="Normal"/>
    <w:rsid w:val="0005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eprezentanta.comisiei.europene.in.romania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7.wmf"/><Relationship Id="rId26" Type="http://schemas.openxmlformats.org/officeDocument/2006/relationships/hyperlink" Target="http://europa.eu/europedirect/call_us/index_ro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.europa.eu/education/tools/et-monitor_ro.htm" TargetMode="External"/><Relationship Id="rId34" Type="http://schemas.openxmlformats.org/officeDocument/2006/relationships/hyperlink" Target="http://ec.europa.eu/education/tools/et-monitor_ro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ComisiaEuropeana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://europa.eu/europedirect/" TargetMode="External"/><Relationship Id="rId33" Type="http://schemas.openxmlformats.org/officeDocument/2006/relationships/hyperlink" Target="http://ec.europa.eu/education/tools/docs/2015/monitor2015-romania_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hyperlink" Target="http://europa.eu/rapid/press-release_IP-15-6052_ro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romania/rss/rss_ro.rss" TargetMode="External"/><Relationship Id="rId11" Type="http://schemas.openxmlformats.org/officeDocument/2006/relationships/image" Target="media/image3.gif"/><Relationship Id="rId24" Type="http://schemas.openxmlformats.org/officeDocument/2006/relationships/hyperlink" Target="mailto:mihai.rosioru@ec.europa.eu" TargetMode="External"/><Relationship Id="rId32" Type="http://schemas.openxmlformats.org/officeDocument/2006/relationships/image" Target="media/image9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mailto:mirna.talko@ec.europa.eu" TargetMode="External"/><Relationship Id="rId28" Type="http://schemas.openxmlformats.org/officeDocument/2006/relationships/hyperlink" Target="http://ec.europa.eu/romania/news/agenda/16112015_lansarea_monitorului_educatiei_ro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witter.com/RCERomania" TargetMode="External"/><Relationship Id="rId19" Type="http://schemas.openxmlformats.org/officeDocument/2006/relationships/control" Target="activeX/activeX2.xml"/><Relationship Id="rId31" Type="http://schemas.openxmlformats.org/officeDocument/2006/relationships/hyperlink" Target="http://ec.europa.eu/education/library/publications/monitor15_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javascript:window.print()" TargetMode="External"/><Relationship Id="rId22" Type="http://schemas.openxmlformats.org/officeDocument/2006/relationships/hyperlink" Target="mailto:Nathalie.VANDYSTADT@ec.europa.eu" TargetMode="External"/><Relationship Id="rId27" Type="http://schemas.openxmlformats.org/officeDocument/2006/relationships/hyperlink" Target="http://europa.eu/europedirect/write_to_us/mailbox/index_ro.htm" TargetMode="External"/><Relationship Id="rId30" Type="http://schemas.openxmlformats.org/officeDocument/2006/relationships/hyperlink" Target="http://ec.europa.eu/avservices/video/player.cfm?sitelang=en&amp;ref=I111602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2015-12-01T14:56:00Z</dcterms:created>
  <dcterms:modified xsi:type="dcterms:W3CDTF">2015-12-01T14:56:00Z</dcterms:modified>
</cp:coreProperties>
</file>