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Style w:val="apple-converted-space"/>
          <w:rFonts w:ascii="Arial" w:hAnsi="Arial" w:cs="Arial"/>
          <w:color w:val="333333"/>
          <w:sz w:val="21"/>
          <w:szCs w:val="21"/>
        </w:rPr>
        <w:t> </w:t>
      </w:r>
      <w:r>
        <w:rPr>
          <w:rFonts w:ascii="Arial" w:hAnsi="Arial" w:cs="Arial"/>
          <w:color w:val="333333"/>
          <w:sz w:val="21"/>
          <w:szCs w:val="21"/>
        </w:rPr>
        <w:t>În cadrul şedinţei de astăzi, Consiliul Autorității de Supraveghere Financiară (ASF) a aprobat următoarele măsuri privind cadrul de funcţionare a pieţelor financiare nebancare supravegheate – asigurări, piaţă de capital şi pensii private:</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A)    </w:t>
      </w:r>
      <w:r>
        <w:rPr>
          <w:rStyle w:val="apple-converted-space"/>
          <w:rFonts w:ascii="Arial" w:hAnsi="Arial" w:cs="Arial"/>
          <w:color w:val="333333"/>
          <w:sz w:val="21"/>
          <w:szCs w:val="21"/>
        </w:rPr>
        <w:t> </w:t>
      </w:r>
      <w:r>
        <w:rPr>
          <w:rStyle w:val="Accentuat"/>
          <w:rFonts w:ascii="Arial" w:hAnsi="Arial" w:cs="Arial"/>
          <w:b/>
          <w:bCs/>
          <w:color w:val="333333"/>
          <w:sz w:val="21"/>
          <w:szCs w:val="21"/>
        </w:rPr>
        <w:t>Reglementare</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Informare cu privire la stadiul derulării Proiectului S.T.E.A.M. de trecere a pieței locale de capital la stadiul de piață emergentă</w:t>
      </w:r>
      <w:r>
        <w:rPr>
          <w:rStyle w:val="apple-converted-space"/>
          <w:rFonts w:ascii="Arial" w:hAnsi="Arial" w:cs="Arial"/>
          <w:i/>
          <w:iCs/>
          <w:color w:val="333333"/>
          <w:sz w:val="21"/>
          <w:szCs w:val="21"/>
        </w:rPr>
        <w:t> </w:t>
      </w:r>
      <w:r>
        <w:rPr>
          <w:rStyle w:val="Accentuat"/>
          <w:rFonts w:ascii="Arial" w:hAnsi="Arial" w:cs="Arial"/>
          <w:color w:val="333333"/>
          <w:sz w:val="21"/>
          <w:szCs w:val="21"/>
        </w:rPr>
        <w:t>(va face obiectul unui comunicat transmis separat).</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B)     </w:t>
      </w:r>
      <w:r>
        <w:rPr>
          <w:rStyle w:val="apple-converted-space"/>
          <w:rFonts w:ascii="Arial" w:hAnsi="Arial" w:cs="Arial"/>
          <w:color w:val="333333"/>
          <w:sz w:val="21"/>
          <w:szCs w:val="21"/>
        </w:rPr>
        <w:t> </w:t>
      </w:r>
      <w:r>
        <w:rPr>
          <w:rStyle w:val="Accentuat"/>
          <w:rFonts w:ascii="Arial" w:hAnsi="Arial" w:cs="Arial"/>
          <w:b/>
          <w:bCs/>
          <w:color w:val="333333"/>
          <w:sz w:val="21"/>
          <w:szCs w:val="21"/>
        </w:rPr>
        <w:t>Supraveghere şi control</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Prelungirea termenului până la care auditorul financiar va întocmi raportul final cu privire la rezultatele procesului de evaluare a activelor, datoriilor și capitalurilor proprii societății Carpatica Asig;</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Aplicarea unor măsuri rezultate în urma controalelor desfăşurate în cazul unor brokeri de asigurări şi societăţi de servicii de investiţii financiare (retragerea autorizaţiei de funcţionare, sancţionarea cu avertisment scris, sancţionarea cu amendă);</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Admiterea parţială/respingerea unei plângeri prealabile formulate împotriva unor decizii ale ASF.</w:t>
      </w:r>
    </w:p>
    <w:p w:rsidR="00274295" w:rsidRDefault="00274295" w:rsidP="00274295">
      <w:pPr>
        <w:pStyle w:val="NormalWeb"/>
        <w:shd w:val="clear" w:color="auto" w:fill="FFFFFF"/>
        <w:spacing w:before="0" w:beforeAutospacing="0" w:after="240" w:afterAutospacing="0" w:line="269" w:lineRule="atLeast"/>
        <w:rPr>
          <w:rFonts w:ascii="Arial" w:hAnsi="Arial" w:cs="Arial"/>
          <w:color w:val="333333"/>
          <w:sz w:val="21"/>
          <w:szCs w:val="21"/>
        </w:rPr>
      </w:pPr>
      <w:r>
        <w:rPr>
          <w:rFonts w:ascii="Arial" w:hAnsi="Arial" w:cs="Arial"/>
          <w:color w:val="333333"/>
          <w:sz w:val="21"/>
          <w:szCs w:val="21"/>
        </w:rPr>
        <w:t>C)     </w:t>
      </w:r>
      <w:r>
        <w:rPr>
          <w:rStyle w:val="apple-converted-space"/>
          <w:rFonts w:ascii="Arial" w:hAnsi="Arial" w:cs="Arial"/>
          <w:color w:val="333333"/>
          <w:sz w:val="21"/>
          <w:szCs w:val="21"/>
        </w:rPr>
        <w:t> </w:t>
      </w:r>
      <w:r>
        <w:rPr>
          <w:rStyle w:val="Accentuat"/>
          <w:rFonts w:ascii="Arial" w:hAnsi="Arial" w:cs="Arial"/>
          <w:b/>
          <w:bCs/>
          <w:color w:val="333333"/>
          <w:sz w:val="21"/>
          <w:szCs w:val="21"/>
        </w:rPr>
        <w:t>Autorizare – Avizare</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Numirea unor membri în structurile de conducere ale unor societăţi de asigurare şi brokeri (director general adjunct, director executiv);</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Majorarea capitalului social în cazul unor societăţi de asigurare şi brokeri;</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Modificări aduse Actelor constitutive (cesiune de părți sociale, schimbare sediu social, modificare capital social) în cazul unor brokeri de asigurare;</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Avizarea modificărilor intervenite în documentele avute în vedere la momentul înregistrării S.C. Fondul Proprietatea S.A. ca urmare a încheierii contractului de depozitare cu BRD – GSG;</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Validarea unui membru al Consiliului de Administraţie al SIBEX-SIBIU STOCK EXCHANGE S.A. și autorizarea modificării autorizației de funcționare a societății ca urmare a schimbării componenței C.A.;</w:t>
      </w:r>
    </w:p>
    <w:p w:rsidR="00274295" w:rsidRDefault="00274295" w:rsidP="00274295">
      <w:pPr>
        <w:pStyle w:val="NormalWeb"/>
        <w:shd w:val="clear" w:color="auto" w:fill="FFFFFF"/>
        <w:spacing w:before="0" w:beforeAutospacing="0" w:after="0" w:afterAutospacing="0" w:line="269" w:lineRule="atLeast"/>
        <w:rPr>
          <w:rFonts w:ascii="Arial" w:hAnsi="Arial" w:cs="Arial"/>
          <w:color w:val="333333"/>
          <w:sz w:val="21"/>
          <w:szCs w:val="21"/>
        </w:rPr>
      </w:pPr>
      <w:r>
        <w:rPr>
          <w:rFonts w:ascii="Arial" w:hAnsi="Arial" w:cs="Arial"/>
          <w:color w:val="333333"/>
          <w:sz w:val="21"/>
          <w:szCs w:val="21"/>
        </w:rPr>
        <w:t>Avizarea şi reavizarea a 18 agenţi în vederea desfăşurării activităţilor de marketing pentru fonduri de pensii, precum și retragerea avizelor pentru alţi 67 agenţi de marketing.</w:t>
      </w:r>
    </w:p>
    <w:p w:rsidR="00BA23BD" w:rsidRDefault="00BA23BD">
      <w:bookmarkStart w:id="0" w:name="_GoBack"/>
      <w:bookmarkEnd w:id="0"/>
    </w:p>
    <w:sectPr w:rsidR="00BA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5"/>
    <w:rsid w:val="00274295"/>
    <w:rsid w:val="00BA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B9C3-D4A0-4944-AA0C-AFD8C189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274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274295"/>
  </w:style>
  <w:style w:type="character" w:styleId="Accentuat">
    <w:name w:val="Emphasis"/>
    <w:basedOn w:val="Fontdeparagrafimplicit"/>
    <w:uiPriority w:val="20"/>
    <w:qFormat/>
    <w:rsid w:val="00274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2016-05-18T16:57:00Z</dcterms:created>
  <dcterms:modified xsi:type="dcterms:W3CDTF">2016-05-18T16:58:00Z</dcterms:modified>
</cp:coreProperties>
</file>