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Pr="00C068F1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 w:rsidRPr="00C068F1">
        <w:rPr>
          <w:rFonts w:ascii="Arial Narrow" w:hAnsi="Arial Narrow" w:cs="Arial Narrow"/>
          <w:b/>
          <w:bCs/>
          <w:sz w:val="24"/>
          <w:szCs w:val="24"/>
        </w:rPr>
        <w:t>ANUNŢ</w:t>
      </w:r>
      <w:r w:rsidR="005E49C1" w:rsidRPr="00C068F1">
        <w:rPr>
          <w:rFonts w:ascii="Arial Narrow" w:hAnsi="Arial Narrow" w:cs="Arial Narrow"/>
          <w:b/>
          <w:bCs/>
          <w:sz w:val="24"/>
          <w:szCs w:val="24"/>
        </w:rPr>
        <w:t xml:space="preserve"> PRIVIND REZULTATUL PROCEDURII DE SELECŢIE</w:t>
      </w:r>
    </w:p>
    <w:p w:rsidR="0042440D" w:rsidRPr="00C068F1" w:rsidRDefault="0042440D" w:rsidP="0042440D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sz w:val="24"/>
          <w:szCs w:val="24"/>
        </w:rPr>
      </w:pPr>
    </w:p>
    <w:p w:rsidR="00472F4B" w:rsidRPr="00C068F1" w:rsidRDefault="00472F4B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sz w:val="24"/>
          <w:szCs w:val="24"/>
        </w:rPr>
      </w:pPr>
    </w:p>
    <w:p w:rsidR="005E49C1" w:rsidRPr="00C068F1" w:rsidRDefault="005E49C1" w:rsidP="00C068F1">
      <w:pPr>
        <w:tabs>
          <w:tab w:val="left" w:pos="0"/>
        </w:tabs>
        <w:spacing w:before="120" w:after="120" w:line="240" w:lineRule="auto"/>
        <w:ind w:right="994"/>
        <w:jc w:val="center"/>
        <w:rPr>
          <w:rFonts w:ascii="Arial Narrow" w:hAnsi="Arial Narrow" w:cs="Arial"/>
          <w:b/>
          <w:sz w:val="24"/>
          <w:szCs w:val="24"/>
        </w:rPr>
      </w:pPr>
      <w:r w:rsidRPr="00C068F1">
        <w:rPr>
          <w:rFonts w:ascii="Arial Narrow" w:hAnsi="Arial Narrow" w:cs="Arial"/>
          <w:b/>
          <w:sz w:val="24"/>
          <w:szCs w:val="24"/>
        </w:rPr>
        <w:t xml:space="preserve">                 Mecanismul Financiar Norvegian 2009-2014</w:t>
      </w:r>
    </w:p>
    <w:p w:rsidR="005E49C1" w:rsidRPr="00C068F1" w:rsidRDefault="005E49C1" w:rsidP="00C068F1">
      <w:pPr>
        <w:tabs>
          <w:tab w:val="left" w:pos="0"/>
        </w:tabs>
        <w:spacing w:before="120" w:after="120" w:line="240" w:lineRule="auto"/>
        <w:ind w:left="274" w:right="994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068F1">
        <w:rPr>
          <w:rFonts w:ascii="Arial Narrow" w:hAnsi="Arial Narrow" w:cs="Arial"/>
          <w:b/>
          <w:i/>
          <w:sz w:val="24"/>
          <w:szCs w:val="24"/>
        </w:rPr>
        <w:t xml:space="preserve">             Programul RO 24 „Întărirea capacității judiciare și cooperare”</w:t>
      </w:r>
    </w:p>
    <w:p w:rsidR="00C068F1" w:rsidRPr="00C068F1" w:rsidRDefault="00C068F1" w:rsidP="00C068F1">
      <w:pPr>
        <w:keepNext/>
        <w:tabs>
          <w:tab w:val="left" w:pos="0"/>
          <w:tab w:val="left" w:pos="855"/>
        </w:tabs>
        <w:spacing w:before="120" w:after="12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068F1">
        <w:rPr>
          <w:rFonts w:ascii="Arial Narrow" w:hAnsi="Arial Narrow" w:cs="Arial"/>
          <w:b/>
          <w:i/>
          <w:sz w:val="24"/>
          <w:szCs w:val="24"/>
        </w:rPr>
        <w:t>Proiectul „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Mecanisme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juridice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de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protecţie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a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minorului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în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cauzele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b/>
          <w:i/>
          <w:sz w:val="24"/>
          <w:szCs w:val="24"/>
          <w:lang w:val="en-GB"/>
        </w:rPr>
        <w:t>transfrontaliere</w:t>
      </w:r>
      <w:proofErr w:type="spellEnd"/>
      <w:r w:rsidRPr="00C068F1">
        <w:rPr>
          <w:rFonts w:ascii="Arial Narrow" w:hAnsi="Arial Narrow" w:cs="Arial"/>
          <w:b/>
          <w:i/>
          <w:sz w:val="24"/>
          <w:szCs w:val="24"/>
        </w:rPr>
        <w:t xml:space="preserve">” </w:t>
      </w:r>
    </w:p>
    <w:p w:rsidR="00C068F1" w:rsidRPr="00C068F1" w:rsidRDefault="00C068F1" w:rsidP="00C068F1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  <w:sz w:val="24"/>
          <w:szCs w:val="24"/>
        </w:rPr>
      </w:pPr>
    </w:p>
    <w:p w:rsidR="00C068F1" w:rsidRPr="00C068F1" w:rsidRDefault="00C068F1" w:rsidP="00C068F1">
      <w:pPr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C068F1">
        <w:rPr>
          <w:rFonts w:ascii="Arial Narrow" w:hAnsi="Arial Narrow" w:cs="Arial"/>
          <w:b/>
          <w:bCs/>
          <w:i/>
          <w:sz w:val="24"/>
          <w:szCs w:val="24"/>
        </w:rPr>
        <w:t>Procedura de selecție a unui expert român, în vederea participării la redactarea unui ghid de bune practici în cadrul proiectului</w:t>
      </w:r>
    </w:p>
    <w:p w:rsidR="00472F4B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C068F1" w:rsidRPr="00BC3211" w:rsidRDefault="00C068F1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C068F1" w:rsidRPr="00B10AD8" w:rsidRDefault="00C068F1" w:rsidP="00C068F1">
      <w:pPr>
        <w:autoSpaceDE w:val="0"/>
        <w:autoSpaceDN w:val="0"/>
        <w:adjustRightInd w:val="0"/>
        <w:spacing w:after="0"/>
        <w:ind w:firstLine="706"/>
        <w:jc w:val="both"/>
        <w:rPr>
          <w:rFonts w:ascii="Arial Narrow" w:hAnsi="Arial Narrow" w:cs="Arial Narrow"/>
          <w:sz w:val="24"/>
          <w:szCs w:val="24"/>
        </w:rPr>
      </w:pPr>
      <w:r w:rsidRPr="00B10AD8">
        <w:rPr>
          <w:rFonts w:ascii="Arial Narrow" w:hAnsi="Arial Narrow" w:cs="Arial Narrow"/>
          <w:sz w:val="24"/>
          <w:szCs w:val="24"/>
        </w:rPr>
        <w:t xml:space="preserve">La data de </w:t>
      </w:r>
      <w:r>
        <w:rPr>
          <w:rFonts w:ascii="Arial Narrow" w:hAnsi="Arial Narrow" w:cs="Arial Narrow"/>
          <w:sz w:val="24"/>
          <w:szCs w:val="24"/>
        </w:rPr>
        <w:t>23 mai 2016</w:t>
      </w:r>
      <w:r w:rsidRPr="00B10AD8">
        <w:rPr>
          <w:rFonts w:ascii="Arial Narrow" w:hAnsi="Arial Narrow" w:cs="Arial Narrow"/>
          <w:sz w:val="24"/>
          <w:szCs w:val="24"/>
        </w:rPr>
        <w:t xml:space="preserve"> a fost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declanşată</w:t>
      </w:r>
      <w:proofErr w:type="spellEnd"/>
      <w:r w:rsidRPr="00B10AD8">
        <w:rPr>
          <w:rFonts w:ascii="Arial Narrow" w:hAnsi="Arial Narrow" w:cs="Arial Narrow"/>
          <w:sz w:val="24"/>
          <w:szCs w:val="24"/>
        </w:rPr>
        <w:t xml:space="preserve">, cu respectarea formelor de publicitate (publicare pe </w:t>
      </w:r>
      <w:r>
        <w:rPr>
          <w:rFonts w:ascii="Arial Narrow" w:hAnsi="Arial Narrow" w:cs="Arial Narrow"/>
          <w:sz w:val="24"/>
          <w:szCs w:val="24"/>
        </w:rPr>
        <w:t xml:space="preserve">pagina de internet a Consiliului Superior al Magistraturii </w:t>
      </w:r>
      <w:proofErr w:type="spellStart"/>
      <w:r>
        <w:rPr>
          <w:rFonts w:ascii="Arial Narrow" w:hAnsi="Arial Narrow" w:cs="Arial Narrow"/>
          <w:sz w:val="24"/>
          <w:szCs w:val="24"/>
        </w:rPr>
        <w:t>şi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pe pagina de internet a</w:t>
      </w:r>
      <w:r w:rsidRPr="00B10AD8">
        <w:rPr>
          <w:rFonts w:ascii="Arial Narrow" w:hAnsi="Arial Narrow" w:cs="Arial Narrow"/>
          <w:sz w:val="24"/>
          <w:szCs w:val="24"/>
        </w:rPr>
        <w:t xml:space="preserve"> I</w:t>
      </w:r>
      <w:r>
        <w:rPr>
          <w:rFonts w:ascii="Arial Narrow" w:hAnsi="Arial Narrow" w:cs="Arial Narrow"/>
          <w:sz w:val="24"/>
          <w:szCs w:val="24"/>
        </w:rPr>
        <w:t xml:space="preserve">nstitutului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aţional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al </w:t>
      </w:r>
      <w:r w:rsidRPr="00B10AD8"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agistraturii</w:t>
      </w:r>
      <w:r w:rsidRPr="00B10AD8">
        <w:rPr>
          <w:rFonts w:ascii="Arial Narrow" w:hAnsi="Arial Narrow" w:cs="Arial Narrow"/>
          <w:sz w:val="24"/>
          <w:szCs w:val="24"/>
        </w:rPr>
        <w:t xml:space="preserve">), procedura de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selecţie</w:t>
      </w:r>
      <w:proofErr w:type="spellEnd"/>
      <w:r w:rsidRPr="00B10AD8">
        <w:rPr>
          <w:rFonts w:ascii="Arial Narrow" w:hAnsi="Arial Narrow" w:cs="Arial Narrow"/>
          <w:sz w:val="24"/>
          <w:szCs w:val="24"/>
        </w:rPr>
        <w:t xml:space="preserve"> a </w:t>
      </w:r>
      <w:r w:rsidRPr="00D51A9D">
        <w:rPr>
          <w:rFonts w:ascii="Arial Narrow" w:hAnsi="Arial Narrow" w:cs="Arial Narrow"/>
          <w:sz w:val="24"/>
          <w:szCs w:val="24"/>
        </w:rPr>
        <w:t>unui expert român, în vederea participării la redactarea unui ghid de bune practici în cadrul proiectului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C068F1">
        <w:rPr>
          <w:rFonts w:ascii="Arial Narrow" w:hAnsi="Arial Narrow" w:cs="Arial"/>
          <w:i/>
          <w:sz w:val="24"/>
          <w:szCs w:val="24"/>
        </w:rPr>
        <w:t>„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Mecanisme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juridice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de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protecţie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a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minorului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în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cauzele</w:t>
      </w:r>
      <w:proofErr w:type="spellEnd"/>
      <w:r w:rsidRPr="00C068F1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proofErr w:type="spellStart"/>
      <w:r w:rsidRPr="00C068F1">
        <w:rPr>
          <w:rFonts w:ascii="Arial Narrow" w:hAnsi="Arial Narrow" w:cs="Arial"/>
          <w:i/>
          <w:sz w:val="24"/>
          <w:szCs w:val="24"/>
          <w:lang w:val="en-GB"/>
        </w:rPr>
        <w:t>transfrontaliere</w:t>
      </w:r>
      <w:proofErr w:type="spellEnd"/>
      <w:r w:rsidRPr="00C068F1">
        <w:rPr>
          <w:rFonts w:ascii="Arial Narrow" w:hAnsi="Arial Narrow" w:cs="Arial"/>
          <w:i/>
          <w:sz w:val="24"/>
          <w:szCs w:val="24"/>
        </w:rPr>
        <w:t>”</w:t>
      </w:r>
      <w:r w:rsidRPr="00C068F1">
        <w:rPr>
          <w:rFonts w:ascii="Arial Narrow" w:hAnsi="Arial Narrow" w:cs="Arial Narrow"/>
          <w:sz w:val="24"/>
          <w:szCs w:val="24"/>
        </w:rPr>
        <w:t>,</w:t>
      </w:r>
      <w:r w:rsidRPr="00B10AD8">
        <w:rPr>
          <w:rFonts w:ascii="Arial Narrow" w:hAnsi="Arial Narrow" w:cs="Arial Narrow"/>
          <w:sz w:val="24"/>
          <w:szCs w:val="24"/>
        </w:rPr>
        <w:t xml:space="preserve"> termenul limită pentru depunerea candidaturilor fiind </w:t>
      </w:r>
      <w:r>
        <w:rPr>
          <w:rFonts w:ascii="Arial Narrow" w:hAnsi="Arial Narrow" w:cs="Arial Narrow"/>
          <w:sz w:val="24"/>
          <w:szCs w:val="24"/>
        </w:rPr>
        <w:t>data de 1 iunie 2016.</w:t>
      </w:r>
    </w:p>
    <w:p w:rsidR="00C068F1" w:rsidRPr="00B10AD8" w:rsidRDefault="00C068F1" w:rsidP="00C068F1">
      <w:pPr>
        <w:autoSpaceDE w:val="0"/>
        <w:autoSpaceDN w:val="0"/>
        <w:adjustRightInd w:val="0"/>
        <w:spacing w:after="0"/>
        <w:ind w:firstLine="706"/>
        <w:jc w:val="both"/>
        <w:rPr>
          <w:rFonts w:ascii="Arial Narrow" w:hAnsi="Arial Narrow" w:cs="Arial Narrow"/>
          <w:sz w:val="24"/>
          <w:szCs w:val="24"/>
        </w:rPr>
      </w:pPr>
    </w:p>
    <w:p w:rsidR="00C068F1" w:rsidRPr="00B10AD8" w:rsidRDefault="00C068F1" w:rsidP="00C068F1">
      <w:pPr>
        <w:autoSpaceDE w:val="0"/>
        <w:autoSpaceDN w:val="0"/>
        <w:adjustRightInd w:val="0"/>
        <w:spacing w:after="0"/>
        <w:ind w:firstLine="70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În urma publicării </w:t>
      </w:r>
      <w:proofErr w:type="spellStart"/>
      <w:r>
        <w:rPr>
          <w:rFonts w:ascii="Arial Narrow" w:hAnsi="Arial Narrow" w:cs="Arial Narrow"/>
          <w:sz w:val="24"/>
          <w:szCs w:val="24"/>
        </w:rPr>
        <w:t>anunţului</w:t>
      </w:r>
      <w:proofErr w:type="spellEnd"/>
      <w:r w:rsidRPr="00C068F1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pe site-urile Consiliului Superior al Magistraturii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Institutului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Naţional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al Magistraturii</w:t>
      </w:r>
      <w:r>
        <w:rPr>
          <w:rFonts w:ascii="Arial Narrow" w:hAnsi="Arial Narrow" w:cs="Arial Narrow"/>
          <w:sz w:val="24"/>
          <w:szCs w:val="24"/>
        </w:rPr>
        <w:t xml:space="preserve">, a fost înregistrată o candidatură, respectiv a doamnei judecător Georgeana VIOREL. </w:t>
      </w:r>
    </w:p>
    <w:p w:rsidR="00110275" w:rsidRDefault="00110275" w:rsidP="00C068F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B13959" w:rsidRPr="00174650" w:rsidRDefault="00110275" w:rsidP="00C068F1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evaluare s-a reunit în </w:t>
      </w:r>
      <w:r w:rsidR="00C068F1">
        <w:rPr>
          <w:rFonts w:ascii="Arial Narrow" w:eastAsia="Times New Roman" w:hAnsi="Arial Narrow" w:cs="TimesNewRoman,Bold"/>
          <w:bCs/>
          <w:sz w:val="24"/>
          <w:szCs w:val="24"/>
        </w:rPr>
        <w:t>data de 29 iunie</w:t>
      </w:r>
      <w:r>
        <w:rPr>
          <w:rFonts w:ascii="Arial Narrow" w:eastAsia="Times New Roman" w:hAnsi="Arial Narrow" w:cs="TimesNewRoman,Bold"/>
          <w:bCs/>
          <w:sz w:val="24"/>
          <w:szCs w:val="24"/>
        </w:rPr>
        <w:t xml:space="preserve"> 2016 </w:t>
      </w:r>
      <w:proofErr w:type="spellStart"/>
      <w:r w:rsidR="00B13959" w:rsidRPr="00237BD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="00B13959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a verificat, </w:t>
      </w:r>
      <w:r w:rsidR="00B13959" w:rsidRPr="00237BD2">
        <w:rPr>
          <w:rFonts w:ascii="Arial Narrow" w:eastAsia="Times New Roman" w:hAnsi="Arial Narrow" w:cs="TimesNewRoman,Bold"/>
          <w:b/>
          <w:bCs/>
          <w:sz w:val="24"/>
          <w:szCs w:val="24"/>
        </w:rPr>
        <w:t>pe baza documentelor depuse de candidat</w:t>
      </w:r>
      <w:r w:rsidR="00B13959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, îndeplinirea criteriilor de selecţie indicate în anunţ şi în caietul de sarcini. </w:t>
      </w:r>
    </w:p>
    <w:p w:rsidR="00B13959" w:rsidRPr="00237BD2" w:rsidRDefault="00B13959" w:rsidP="00C068F1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174650" w:rsidRDefault="00080AF0" w:rsidP="00C068F1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110275">
        <w:rPr>
          <w:rFonts w:ascii="Arial Narrow" w:eastAsia="Times New Roman" w:hAnsi="Arial Narrow" w:cs="TimesNewRoman,Bold"/>
          <w:bCs/>
          <w:sz w:val="24"/>
          <w:szCs w:val="24"/>
        </w:rPr>
        <w:t>În urma evaluării</w:t>
      </w:r>
      <w:r w:rsidR="00B13959" w:rsidRPr="00110275">
        <w:rPr>
          <w:rFonts w:ascii="Arial Narrow" w:eastAsia="Times New Roman" w:hAnsi="Arial Narrow" w:cs="TimesNewRoman,Bold"/>
          <w:bCs/>
          <w:sz w:val="24"/>
          <w:szCs w:val="24"/>
        </w:rPr>
        <w:t>, comisia a decis</w:t>
      </w:r>
      <w:r w:rsidR="00C068F1">
        <w:rPr>
          <w:rFonts w:ascii="Arial Narrow" w:eastAsia="Times New Roman" w:hAnsi="Arial Narrow" w:cs="TimesNewRoman,Bold"/>
          <w:bCs/>
          <w:sz w:val="24"/>
          <w:szCs w:val="24"/>
        </w:rPr>
        <w:t xml:space="preserve"> selectarea </w:t>
      </w:r>
      <w:r w:rsidR="00C068F1" w:rsidRPr="005264C4">
        <w:rPr>
          <w:rFonts w:ascii="Arial Narrow" w:hAnsi="Arial Narrow" w:cs="Arial Narrow"/>
          <w:sz w:val="24"/>
          <w:szCs w:val="24"/>
        </w:rPr>
        <w:t>doamnei Georgeana VIOREL ca expert specializat în vederea participării la redactarea unui ghid de bune</w:t>
      </w:r>
      <w:r w:rsidR="00C068F1">
        <w:rPr>
          <w:rFonts w:ascii="Arial Narrow" w:hAnsi="Arial Narrow" w:cs="Arial Narrow"/>
          <w:sz w:val="24"/>
          <w:szCs w:val="24"/>
        </w:rPr>
        <w:t xml:space="preserve"> practici în cadrul proiectului</w:t>
      </w:r>
      <w:r w:rsidR="00C068F1">
        <w:rPr>
          <w:rFonts w:ascii="Arial Narrow" w:hAnsi="Arial Narrow" w:cs="Arial Narrow"/>
          <w:sz w:val="24"/>
          <w:szCs w:val="24"/>
        </w:rPr>
        <w:t xml:space="preserve"> </w:t>
      </w:r>
      <w:r w:rsidR="00C068F1" w:rsidRPr="00C068F1">
        <w:rPr>
          <w:rFonts w:ascii="Arial Narrow" w:hAnsi="Arial Narrow" w:cs="Arial Narrow"/>
          <w:sz w:val="24"/>
          <w:szCs w:val="24"/>
        </w:rPr>
        <w:t xml:space="preserve"> „</w:t>
      </w:r>
      <w:r w:rsidR="00C068F1" w:rsidRPr="00C068F1">
        <w:rPr>
          <w:rFonts w:ascii="Arial Narrow" w:hAnsi="Arial Narrow" w:cs="Arial Narrow"/>
          <w:i/>
          <w:sz w:val="24"/>
          <w:szCs w:val="24"/>
        </w:rPr>
        <w:t xml:space="preserve">Mecanisme juridice de </w:t>
      </w:r>
      <w:proofErr w:type="spellStart"/>
      <w:r w:rsidR="00C068F1" w:rsidRPr="00C068F1">
        <w:rPr>
          <w:rFonts w:ascii="Arial Narrow" w:hAnsi="Arial Narrow" w:cs="Arial Narrow"/>
          <w:i/>
          <w:sz w:val="24"/>
          <w:szCs w:val="24"/>
        </w:rPr>
        <w:t>protecţie</w:t>
      </w:r>
      <w:proofErr w:type="spellEnd"/>
      <w:r w:rsidR="00C068F1" w:rsidRPr="00C068F1">
        <w:rPr>
          <w:rFonts w:ascii="Arial Narrow" w:hAnsi="Arial Narrow" w:cs="Arial Narrow"/>
          <w:i/>
          <w:sz w:val="24"/>
          <w:szCs w:val="24"/>
        </w:rPr>
        <w:t xml:space="preserve"> a minorului în cauzele transfrontaliere</w:t>
      </w:r>
      <w:r w:rsidR="00C068F1" w:rsidRPr="00C068F1">
        <w:rPr>
          <w:rFonts w:ascii="Arial Narrow" w:hAnsi="Arial Narrow" w:cs="Arial Narrow"/>
          <w:sz w:val="24"/>
          <w:szCs w:val="24"/>
        </w:rPr>
        <w:t>”</w:t>
      </w:r>
      <w:r w:rsidR="00C068F1">
        <w:rPr>
          <w:rFonts w:ascii="Arial Narrow" w:hAnsi="Arial Narrow" w:cs="Arial Narrow"/>
          <w:sz w:val="24"/>
          <w:szCs w:val="24"/>
        </w:rPr>
        <w:t xml:space="preserve">. </w:t>
      </w:r>
    </w:p>
    <w:p w:rsidR="00C068F1" w:rsidRDefault="00C068F1" w:rsidP="00BA3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C068F1" w:rsidRPr="00110275" w:rsidRDefault="00C068F1" w:rsidP="00BA3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C068F1" w:rsidRDefault="00B13959" w:rsidP="00C068F1">
      <w:pPr>
        <w:autoSpaceDE w:val="0"/>
        <w:autoSpaceDN w:val="0"/>
        <w:adjustRightInd w:val="0"/>
        <w:jc w:val="both"/>
        <w:rPr>
          <w:rFonts w:ascii="Arial Narrow" w:hAnsi="Arial Narrow" w:cs="TimesNewRoman,Bold"/>
          <w:bCs/>
        </w:rPr>
      </w:pPr>
    </w:p>
    <w:sectPr w:rsidR="00B13959" w:rsidRPr="00C068F1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D0" w:rsidRDefault="00AC68D0" w:rsidP="00D509C2">
      <w:pPr>
        <w:spacing w:after="0" w:line="240" w:lineRule="auto"/>
      </w:pPr>
      <w:r>
        <w:separator/>
      </w:r>
    </w:p>
  </w:endnote>
  <w:endnote w:type="continuationSeparator" w:id="0">
    <w:p w:rsidR="00AC68D0" w:rsidRDefault="00AC68D0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Footer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D0" w:rsidRDefault="00AC68D0" w:rsidP="00D509C2">
      <w:pPr>
        <w:spacing w:after="0" w:line="240" w:lineRule="auto"/>
      </w:pPr>
      <w:r>
        <w:separator/>
      </w:r>
    </w:p>
  </w:footnote>
  <w:footnote w:type="continuationSeparator" w:id="0">
    <w:p w:rsidR="00AC68D0" w:rsidRDefault="00AC68D0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Header"/>
    </w:pPr>
    <w:r w:rsidRPr="00D1064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17C3D"/>
    <w:multiLevelType w:val="hybridMultilevel"/>
    <w:tmpl w:val="4070589C"/>
    <w:lvl w:ilvl="0" w:tplc="F19C7826">
      <w:start w:val="1"/>
      <w:numFmt w:val="decimal"/>
      <w:lvlText w:val="%1."/>
      <w:lvlJc w:val="left"/>
      <w:pPr>
        <w:ind w:left="1428" w:hanging="360"/>
      </w:pPr>
      <w:rPr>
        <w:rFonts w:ascii="Arial Narrow" w:eastAsia="Times New Roman" w:hAnsi="Arial Narrow" w:cs="Arial Narrow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37A05990"/>
    <w:lvl w:ilvl="0" w:tplc="3EDA7C9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16"/>
  </w:num>
  <w:num w:numId="5">
    <w:abstractNumId w:val="0"/>
  </w:num>
  <w:num w:numId="6">
    <w:abstractNumId w:val="14"/>
  </w:num>
  <w:num w:numId="7">
    <w:abstractNumId w:val="13"/>
  </w:num>
  <w:num w:numId="8">
    <w:abstractNumId w:val="3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4"/>
  </w:num>
  <w:num w:numId="13">
    <w:abstractNumId w:val="23"/>
  </w:num>
  <w:num w:numId="14">
    <w:abstractNumId w:val="24"/>
  </w:num>
  <w:num w:numId="15">
    <w:abstractNumId w:val="27"/>
  </w:num>
  <w:num w:numId="16">
    <w:abstractNumId w:val="11"/>
  </w:num>
  <w:num w:numId="17">
    <w:abstractNumId w:val="21"/>
  </w:num>
  <w:num w:numId="18">
    <w:abstractNumId w:val="15"/>
  </w:num>
  <w:num w:numId="19">
    <w:abstractNumId w:val="6"/>
  </w:num>
  <w:num w:numId="20">
    <w:abstractNumId w:val="25"/>
  </w:num>
  <w:num w:numId="21">
    <w:abstractNumId w:val="31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30"/>
  </w:num>
  <w:num w:numId="27">
    <w:abstractNumId w:val="34"/>
  </w:num>
  <w:num w:numId="28">
    <w:abstractNumId w:val="7"/>
  </w:num>
  <w:num w:numId="29">
    <w:abstractNumId w:val="28"/>
  </w:num>
  <w:num w:numId="30">
    <w:abstractNumId w:val="8"/>
  </w:num>
  <w:num w:numId="31">
    <w:abstractNumId w:val="17"/>
  </w:num>
  <w:num w:numId="32">
    <w:abstractNumId w:val="2"/>
  </w:num>
  <w:num w:numId="33">
    <w:abstractNumId w:val="5"/>
  </w:num>
  <w:num w:numId="34">
    <w:abstractNumId w:val="18"/>
  </w:num>
  <w:num w:numId="35">
    <w:abstractNumId w:val="20"/>
  </w:num>
  <w:num w:numId="36">
    <w:abstractNumId w:val="19"/>
  </w:num>
  <w:num w:numId="37">
    <w:abstractNumId w:val="26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14A4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0275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3F8B"/>
    <w:rsid w:val="001A555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4D"/>
    <w:rsid w:val="00214BFC"/>
    <w:rsid w:val="00216C02"/>
    <w:rsid w:val="0022500B"/>
    <w:rsid w:val="00237BD2"/>
    <w:rsid w:val="00252CC3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5AA7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B2133"/>
    <w:rsid w:val="007C60AE"/>
    <w:rsid w:val="007D5520"/>
    <w:rsid w:val="007E27E5"/>
    <w:rsid w:val="007E6CB4"/>
    <w:rsid w:val="007F2D37"/>
    <w:rsid w:val="007F5968"/>
    <w:rsid w:val="008017F1"/>
    <w:rsid w:val="00801FA7"/>
    <w:rsid w:val="00810F58"/>
    <w:rsid w:val="00836C82"/>
    <w:rsid w:val="008409E0"/>
    <w:rsid w:val="008440C4"/>
    <w:rsid w:val="0084559A"/>
    <w:rsid w:val="00851B46"/>
    <w:rsid w:val="008527FF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C4880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14E98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23AC"/>
    <w:rsid w:val="00A93421"/>
    <w:rsid w:val="00AA2C2C"/>
    <w:rsid w:val="00AA5430"/>
    <w:rsid w:val="00AB7D54"/>
    <w:rsid w:val="00AC039D"/>
    <w:rsid w:val="00AC0BE5"/>
    <w:rsid w:val="00AC1C01"/>
    <w:rsid w:val="00AC3820"/>
    <w:rsid w:val="00AC68D0"/>
    <w:rsid w:val="00AC6EAF"/>
    <w:rsid w:val="00AD1D34"/>
    <w:rsid w:val="00AD6B4A"/>
    <w:rsid w:val="00AE5133"/>
    <w:rsid w:val="00AE647E"/>
    <w:rsid w:val="00AF222C"/>
    <w:rsid w:val="00B0071F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25AF"/>
    <w:rsid w:val="00BA3165"/>
    <w:rsid w:val="00BA345B"/>
    <w:rsid w:val="00BB1D1F"/>
    <w:rsid w:val="00BB77C3"/>
    <w:rsid w:val="00BC0D67"/>
    <w:rsid w:val="00BC2479"/>
    <w:rsid w:val="00BC3211"/>
    <w:rsid w:val="00BD7F04"/>
    <w:rsid w:val="00BE2B02"/>
    <w:rsid w:val="00BF0980"/>
    <w:rsid w:val="00BF0E0B"/>
    <w:rsid w:val="00BF1934"/>
    <w:rsid w:val="00C03BBD"/>
    <w:rsid w:val="00C068F1"/>
    <w:rsid w:val="00C07E45"/>
    <w:rsid w:val="00C13B2B"/>
    <w:rsid w:val="00C149C5"/>
    <w:rsid w:val="00C162AA"/>
    <w:rsid w:val="00C22A17"/>
    <w:rsid w:val="00C23CC9"/>
    <w:rsid w:val="00C27F24"/>
    <w:rsid w:val="00C3083B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0AB5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517D9"/>
    <w:rsid w:val="00E7010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">
    <w:name w:val="Umbrire de culoare deschisă - Accentuare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">
    <w:name w:val="Umbrire de culoare deschisă - Accentuare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">
    <w:name w:val="Umbrire de culoare deschisă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CommentTextChar">
    <w:name w:val="Comment Text Char"/>
    <w:link w:val="CommentText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FootnoteText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04407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F1AB-4C39-44E7-B1F3-341C7FE6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Consiliul Superior al Magistraturii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Calina, GHITULESCU</cp:lastModifiedBy>
  <cp:revision>2</cp:revision>
  <cp:lastPrinted>2014-06-06T09:09:00Z</cp:lastPrinted>
  <dcterms:created xsi:type="dcterms:W3CDTF">2016-06-30T11:04:00Z</dcterms:created>
  <dcterms:modified xsi:type="dcterms:W3CDTF">2016-06-30T11:04:00Z</dcterms:modified>
</cp:coreProperties>
</file>