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3B" w:rsidRPr="002E3688" w:rsidRDefault="00E00435" w:rsidP="002E3688">
      <w:pPr>
        <w:jc w:val="right"/>
        <w:rPr>
          <w:u w:val="single"/>
          <w:lang w:val="ro-RO"/>
        </w:rPr>
      </w:pPr>
      <w:r>
        <w:rPr>
          <w:lang w:val="ro-RO"/>
        </w:rPr>
        <w:t xml:space="preserve">                                                     </w:t>
      </w:r>
      <w:r w:rsidR="002E3688">
        <w:rPr>
          <w:lang w:val="ro-RO"/>
        </w:rPr>
        <w:t xml:space="preserve">   </w:t>
      </w:r>
      <w:r w:rsidR="003B25AC">
        <w:rPr>
          <w:lang w:val="ro-RO"/>
        </w:rPr>
        <w:t xml:space="preserve"> </w:t>
      </w:r>
      <w:bookmarkStart w:id="0" w:name="_GoBack"/>
      <w:bookmarkEnd w:id="0"/>
    </w:p>
    <w:p w:rsidR="00636AD6" w:rsidRDefault="00636AD6" w:rsidP="008A4458">
      <w:pPr>
        <w:ind w:left="0"/>
        <w:rPr>
          <w:lang w:val="ro-RO"/>
        </w:rPr>
      </w:pPr>
    </w:p>
    <w:p w:rsidR="00E875C8" w:rsidRDefault="00E875C8" w:rsidP="002E3688">
      <w:pPr>
        <w:ind w:left="0"/>
        <w:jc w:val="center"/>
        <w:rPr>
          <w:b/>
          <w:lang w:val="ro-RO"/>
        </w:rPr>
      </w:pPr>
      <w:r w:rsidRPr="00E875C8">
        <w:rPr>
          <w:b/>
          <w:lang w:val="ro-RO"/>
        </w:rPr>
        <w:t>REFERAT DE APROBARE</w:t>
      </w:r>
    </w:p>
    <w:p w:rsidR="00636AD6" w:rsidRDefault="00824BDC" w:rsidP="00824BDC">
      <w:pPr>
        <w:spacing w:line="240" w:lineRule="auto"/>
        <w:ind w:left="0"/>
        <w:rPr>
          <w:b/>
          <w:lang w:val="ro-RO"/>
        </w:rPr>
      </w:pPr>
      <w:r w:rsidRPr="00E875C8">
        <w:rPr>
          <w:b/>
          <w:lang w:val="ro-RO"/>
        </w:rPr>
        <w:t xml:space="preserve">a </w:t>
      </w:r>
      <w:r w:rsidR="00232351">
        <w:rPr>
          <w:b/>
          <w:lang w:val="ro-RO"/>
        </w:rPr>
        <w:t xml:space="preserve">proiectului </w:t>
      </w:r>
      <w:r w:rsidR="00232351" w:rsidRPr="00232351">
        <w:rPr>
          <w:b/>
          <w:lang w:val="ro-RO"/>
        </w:rPr>
        <w:t>de ordin al ministrului justiției pentru modificarea și completarea Regulamentului de ordine interioară al parchetelor, aprobat prin Ordinul ministrului justiției nr. 2632/C/2014, cu modificările și completările ulterioare</w:t>
      </w:r>
      <w:r w:rsidR="00E875C8" w:rsidRPr="00E875C8">
        <w:rPr>
          <w:b/>
          <w:lang w:val="ro-RO"/>
        </w:rPr>
        <w:t xml:space="preserve"> </w:t>
      </w:r>
    </w:p>
    <w:p w:rsidR="000560F5" w:rsidRDefault="000560F5" w:rsidP="000560F5">
      <w:pPr>
        <w:autoSpaceDE w:val="0"/>
        <w:autoSpaceDN w:val="0"/>
        <w:adjustRightInd w:val="0"/>
        <w:ind w:left="0"/>
      </w:pPr>
    </w:p>
    <w:p w:rsidR="000560F5" w:rsidRPr="0035505F" w:rsidRDefault="000560F5" w:rsidP="000560F5">
      <w:pPr>
        <w:autoSpaceDE w:val="0"/>
        <w:autoSpaceDN w:val="0"/>
        <w:adjustRightInd w:val="0"/>
        <w:ind w:left="0"/>
      </w:pPr>
      <w:proofErr w:type="spellStart"/>
      <w:r>
        <w:t>Prin</w:t>
      </w:r>
      <w:proofErr w:type="spellEnd"/>
      <w:r>
        <w:t xml:space="preserve"> </w:t>
      </w:r>
      <w:proofErr w:type="spellStart"/>
      <w:r>
        <w:t>adresele</w:t>
      </w:r>
      <w:proofErr w:type="spellEnd"/>
      <w:r>
        <w:t xml:space="preserve"> nr. </w:t>
      </w:r>
      <w:r w:rsidRPr="0035505F">
        <w:t>538/C/2620/2016</w:t>
      </w:r>
      <w:r>
        <w:t xml:space="preserve"> din 24.05.2016</w:t>
      </w:r>
      <w:r w:rsidRPr="0035505F">
        <w:t xml:space="preserve">, 7510/2016-958/V-3/16 din 07.07.2016 </w:t>
      </w:r>
      <w:proofErr w:type="spellStart"/>
      <w:r w:rsidRPr="0035505F">
        <w:t>și</w:t>
      </w:r>
      <w:proofErr w:type="spellEnd"/>
      <w:r w:rsidRPr="0035505F">
        <w:t xml:space="preserve"> 538/C/2620</w:t>
      </w:r>
      <w:r>
        <w:t xml:space="preserve"> </w:t>
      </w:r>
      <w:r w:rsidRPr="0035505F">
        <w:t xml:space="preserve"> din 19.08.2016</w:t>
      </w:r>
      <w:r>
        <w:t>,</w:t>
      </w:r>
      <w:r w:rsidRPr="0035505F">
        <w:t xml:space="preserve"> </w:t>
      </w:r>
      <w:proofErr w:type="spellStart"/>
      <w:r w:rsidRPr="0035505F">
        <w:t>procurorul</w:t>
      </w:r>
      <w:proofErr w:type="spellEnd"/>
      <w:r w:rsidRPr="0035505F">
        <w:t xml:space="preserve"> general al </w:t>
      </w:r>
      <w:proofErr w:type="spellStart"/>
      <w:r w:rsidRPr="0035505F">
        <w:t>Parchetului</w:t>
      </w:r>
      <w:proofErr w:type="spellEnd"/>
      <w:r w:rsidRPr="0035505F">
        <w:t xml:space="preserve"> de </w:t>
      </w:r>
      <w:proofErr w:type="spellStart"/>
      <w:r w:rsidRPr="0035505F">
        <w:t>pe</w:t>
      </w:r>
      <w:proofErr w:type="spellEnd"/>
      <w:r w:rsidRPr="0035505F">
        <w:t xml:space="preserve"> </w:t>
      </w:r>
      <w:proofErr w:type="spellStart"/>
      <w:r w:rsidRPr="0035505F">
        <w:t>lângă</w:t>
      </w:r>
      <w:proofErr w:type="spellEnd"/>
      <w:r w:rsidRPr="0035505F">
        <w:t xml:space="preserve"> </w:t>
      </w:r>
      <w:proofErr w:type="spellStart"/>
      <w:r w:rsidRPr="0035505F">
        <w:t>Înalta</w:t>
      </w:r>
      <w:proofErr w:type="spellEnd"/>
      <w:r w:rsidRPr="0035505F">
        <w:t xml:space="preserve"> Curte de </w:t>
      </w:r>
      <w:proofErr w:type="spellStart"/>
      <w:r w:rsidRPr="0035505F">
        <w:t>Casaţie</w:t>
      </w:r>
      <w:proofErr w:type="spellEnd"/>
      <w:r w:rsidRPr="0035505F">
        <w:t xml:space="preserve"> şi </w:t>
      </w:r>
      <w:proofErr w:type="spellStart"/>
      <w:r w:rsidRPr="0035505F">
        <w:t>Justiţie</w:t>
      </w:r>
      <w:proofErr w:type="spellEnd"/>
      <w:r w:rsidRPr="0035505F">
        <w:t xml:space="preserve"> </w:t>
      </w:r>
      <w:r>
        <w:t xml:space="preserve">a </w:t>
      </w:r>
      <w:proofErr w:type="spellStart"/>
      <w:r w:rsidRPr="0035505F">
        <w:rPr>
          <w:rFonts w:cs="Arial"/>
        </w:rPr>
        <w:t>transmis</w:t>
      </w:r>
      <w:proofErr w:type="spellEnd"/>
      <w:r>
        <w:rPr>
          <w:rFonts w:cs="Arial"/>
        </w:rPr>
        <w:t xml:space="preserve"> </w:t>
      </w:r>
      <w:proofErr w:type="spellStart"/>
      <w:r>
        <w:rPr>
          <w:rFonts w:cs="Arial"/>
        </w:rPr>
        <w:t>spre</w:t>
      </w:r>
      <w:proofErr w:type="spellEnd"/>
      <w:r>
        <w:rPr>
          <w:rFonts w:cs="Arial"/>
        </w:rPr>
        <w:t xml:space="preserve"> </w:t>
      </w:r>
      <w:proofErr w:type="spellStart"/>
      <w:r>
        <w:rPr>
          <w:rFonts w:cs="Arial"/>
        </w:rPr>
        <w:t>aprobare</w:t>
      </w:r>
      <w:proofErr w:type="spellEnd"/>
      <w:r>
        <w:rPr>
          <w:rFonts w:cs="Arial"/>
        </w:rPr>
        <w:t xml:space="preserve"> </w:t>
      </w:r>
      <w:proofErr w:type="spellStart"/>
      <w:r>
        <w:rPr>
          <w:rFonts w:cs="Arial"/>
        </w:rPr>
        <w:t>propuneri</w:t>
      </w:r>
      <w:proofErr w:type="spellEnd"/>
      <w:r>
        <w:rPr>
          <w:rFonts w:cs="Arial"/>
        </w:rPr>
        <w:t xml:space="preserve"> de </w:t>
      </w:r>
      <w:proofErr w:type="spellStart"/>
      <w:r>
        <w:rPr>
          <w:rFonts w:cs="Arial"/>
        </w:rPr>
        <w:t>modificare</w:t>
      </w:r>
      <w:proofErr w:type="spellEnd"/>
      <w:r>
        <w:rPr>
          <w:rFonts w:cs="Arial"/>
        </w:rPr>
        <w:t xml:space="preserve"> </w:t>
      </w:r>
      <w:proofErr w:type="spellStart"/>
      <w:r>
        <w:rPr>
          <w:rFonts w:cs="Arial"/>
        </w:rPr>
        <w:t>și</w:t>
      </w:r>
      <w:proofErr w:type="spellEnd"/>
      <w:r>
        <w:rPr>
          <w:rFonts w:cs="Arial"/>
        </w:rPr>
        <w:t xml:space="preserve"> </w:t>
      </w:r>
      <w:proofErr w:type="spellStart"/>
      <w:r>
        <w:rPr>
          <w:rFonts w:cs="Arial"/>
        </w:rPr>
        <w:t>completare</w:t>
      </w:r>
      <w:proofErr w:type="spellEnd"/>
      <w:r>
        <w:rPr>
          <w:rFonts w:cs="Arial"/>
        </w:rPr>
        <w:t xml:space="preserve"> a </w:t>
      </w:r>
      <w:proofErr w:type="spellStart"/>
      <w:r w:rsidRPr="0035505F">
        <w:t>Regulamentului</w:t>
      </w:r>
      <w:proofErr w:type="spellEnd"/>
      <w:r w:rsidRPr="0035505F">
        <w:t xml:space="preserve"> de </w:t>
      </w:r>
      <w:proofErr w:type="spellStart"/>
      <w:r w:rsidRPr="0035505F">
        <w:t>ordine</w:t>
      </w:r>
      <w:proofErr w:type="spellEnd"/>
      <w:r w:rsidRPr="0035505F">
        <w:t xml:space="preserve"> </w:t>
      </w:r>
      <w:proofErr w:type="spellStart"/>
      <w:r w:rsidRPr="0035505F">
        <w:t>interioară</w:t>
      </w:r>
      <w:proofErr w:type="spellEnd"/>
      <w:r w:rsidRPr="0035505F">
        <w:t xml:space="preserve"> al </w:t>
      </w:r>
      <w:proofErr w:type="spellStart"/>
      <w:r w:rsidRPr="0035505F">
        <w:t>parchetelor</w:t>
      </w:r>
      <w:proofErr w:type="spellEnd"/>
      <w:r w:rsidRPr="0035505F">
        <w:t xml:space="preserve">, </w:t>
      </w:r>
      <w:proofErr w:type="spellStart"/>
      <w:r w:rsidRPr="0035505F">
        <w:t>aprobat</w:t>
      </w:r>
      <w:proofErr w:type="spellEnd"/>
      <w:r w:rsidRPr="0035505F">
        <w:t xml:space="preserve"> </w:t>
      </w:r>
      <w:proofErr w:type="spellStart"/>
      <w:r w:rsidRPr="0035505F">
        <w:t>prin</w:t>
      </w:r>
      <w:proofErr w:type="spellEnd"/>
      <w:r w:rsidRPr="0035505F">
        <w:t xml:space="preserve"> </w:t>
      </w:r>
      <w:proofErr w:type="spellStart"/>
      <w:r w:rsidRPr="0035505F">
        <w:t>Ordinul</w:t>
      </w:r>
      <w:proofErr w:type="spellEnd"/>
      <w:r w:rsidRPr="0035505F">
        <w:t xml:space="preserve"> </w:t>
      </w:r>
      <w:proofErr w:type="spellStart"/>
      <w:r w:rsidRPr="0035505F">
        <w:t>ministr</w:t>
      </w:r>
      <w:r w:rsidR="00274008">
        <w:t>ului</w:t>
      </w:r>
      <w:proofErr w:type="spellEnd"/>
      <w:r w:rsidR="00274008">
        <w:t xml:space="preserve"> </w:t>
      </w:r>
      <w:proofErr w:type="spellStart"/>
      <w:r w:rsidR="00274008">
        <w:t>justiţiei</w:t>
      </w:r>
      <w:proofErr w:type="spellEnd"/>
      <w:r w:rsidR="00274008">
        <w:t xml:space="preserve"> nr. 2.632/C/2014, cu </w:t>
      </w:r>
      <w:proofErr w:type="spellStart"/>
      <w:r w:rsidR="00274008">
        <w:t>modificările</w:t>
      </w:r>
      <w:proofErr w:type="spellEnd"/>
      <w:r w:rsidR="00274008">
        <w:t xml:space="preserve"> </w:t>
      </w:r>
      <w:proofErr w:type="spellStart"/>
      <w:r w:rsidR="00274008">
        <w:t>și</w:t>
      </w:r>
      <w:proofErr w:type="spellEnd"/>
      <w:r w:rsidR="00274008">
        <w:t xml:space="preserve"> </w:t>
      </w:r>
      <w:proofErr w:type="spellStart"/>
      <w:r w:rsidR="00274008">
        <w:t>completările</w:t>
      </w:r>
      <w:proofErr w:type="spellEnd"/>
      <w:r w:rsidR="00274008">
        <w:t xml:space="preserve"> </w:t>
      </w:r>
      <w:proofErr w:type="spellStart"/>
      <w:r w:rsidR="00274008">
        <w:t>ulterioare</w:t>
      </w:r>
      <w:proofErr w:type="spellEnd"/>
      <w:r w:rsidR="00274008">
        <w:t xml:space="preserve"> </w:t>
      </w:r>
    </w:p>
    <w:p w:rsidR="003D0C80" w:rsidRDefault="003D0C80" w:rsidP="00824BDC">
      <w:pPr>
        <w:spacing w:line="240" w:lineRule="auto"/>
        <w:ind w:left="0"/>
        <w:rPr>
          <w:b/>
          <w:lang w:val="ro-RO"/>
        </w:rPr>
      </w:pPr>
    </w:p>
    <w:p w:rsidR="00EA4AA8" w:rsidRPr="00A178BC" w:rsidRDefault="00EA4AA8" w:rsidP="00EA4AA8">
      <w:pPr>
        <w:pStyle w:val="Listparagraf"/>
        <w:numPr>
          <w:ilvl w:val="0"/>
          <w:numId w:val="2"/>
        </w:numPr>
        <w:tabs>
          <w:tab w:val="left" w:pos="993"/>
        </w:tabs>
        <w:spacing w:after="200"/>
        <w:ind w:left="0" w:firstLine="720"/>
        <w:rPr>
          <w:lang w:val="ro-RO"/>
        </w:rPr>
      </w:pPr>
      <w:r w:rsidRPr="00A178BC">
        <w:rPr>
          <w:lang w:val="ro-RO"/>
        </w:rPr>
        <w:t>Prin Decizia nr. 51/2016, Curtea Constituțională a admis excepția de neconstituționalitate a prevederilor art. 142 alin. 1 din Codul de procedură penală, potrivit cărora procurorul pune în executare supravegherea tehnică ori poate dispune ca aceasta să fie efectuată de organul de cercetare penală sau de lucrători specializați din cadrul poliției ori de alte organe specializate ale statului.</w:t>
      </w:r>
    </w:p>
    <w:p w:rsidR="00EA4AA8" w:rsidRPr="004D4A2F" w:rsidRDefault="00EA4AA8" w:rsidP="00EA4AA8">
      <w:pPr>
        <w:ind w:left="0"/>
        <w:rPr>
          <w:lang w:val="ro-RO"/>
        </w:rPr>
      </w:pPr>
      <w:r w:rsidRPr="004D4A2F">
        <w:rPr>
          <w:lang w:val="ro-RO"/>
        </w:rPr>
        <w:t>Urmare acestui fapt, prin Hotărârea Guvernului nr.158 din 11 mai 2016, a fost suplimentat numărul maxim de posturi prevăzut pentru Ministerul Public în Hotărârea nr.39/2014, cu 80 de posturi de ofițeri și agenți de poliție judiciară.</w:t>
      </w:r>
    </w:p>
    <w:p w:rsidR="00EA4AA8" w:rsidRPr="004D4A2F" w:rsidRDefault="00EA4AA8" w:rsidP="00EA4AA8">
      <w:pPr>
        <w:ind w:left="0"/>
        <w:rPr>
          <w:lang w:val="ro-RO"/>
        </w:rPr>
      </w:pPr>
      <w:r w:rsidRPr="004D4A2F">
        <w:rPr>
          <w:lang w:val="ro-RO"/>
        </w:rPr>
        <w:t xml:space="preserve">Astfel, s-a creat cadrul legal </w:t>
      </w:r>
      <w:r w:rsidRPr="004D4A2F">
        <w:rPr>
          <w:iCs/>
          <w:lang w:val="ro-RO"/>
        </w:rPr>
        <w:t xml:space="preserve">pentru ca Ministerul Public să aibă o structură pentru punerea în executare a mandatelor de supraveghere tehnică, impunându-se modificarea și completarea Regulamentului de ordine interioară al parchetelor cu noi dispoziții privind structura în cadrul căreia vor funcționa ofițerii și agenții de poliție judiciară și atribuțiile acestora în cadrul Ministerului Public. </w:t>
      </w:r>
    </w:p>
    <w:p w:rsidR="00EA4AA8" w:rsidRPr="004D4A2F" w:rsidRDefault="00EA4AA8" w:rsidP="00EA4AA8">
      <w:pPr>
        <w:ind w:left="0"/>
        <w:rPr>
          <w:iCs/>
          <w:lang w:val="ro-RO"/>
        </w:rPr>
      </w:pPr>
      <w:r w:rsidRPr="004D4A2F">
        <w:rPr>
          <w:iCs/>
          <w:lang w:val="ro-RO"/>
        </w:rPr>
        <w:t>În conformitate cu dispozițiile art. II pct. 3 din</w:t>
      </w:r>
      <w:r w:rsidRPr="004D4A2F">
        <w:rPr>
          <w:rFonts w:cs="Arial"/>
          <w:lang w:val="ro-RO"/>
        </w:rPr>
        <w:t xml:space="preserve"> Ordonanța de urgență a Guvernului nr. 6/2016, </w:t>
      </w:r>
      <w:r w:rsidRPr="004D4A2F">
        <w:rPr>
          <w:iCs/>
          <w:lang w:val="ro-RO"/>
        </w:rPr>
        <w:t xml:space="preserve">în cadrul Ministerului Public vor fi </w:t>
      </w:r>
      <w:proofErr w:type="spellStart"/>
      <w:r w:rsidRPr="004D4A2F">
        <w:rPr>
          <w:iCs/>
          <w:lang w:val="ro-RO"/>
        </w:rPr>
        <w:t>detaşaţi</w:t>
      </w:r>
      <w:proofErr w:type="spellEnd"/>
      <w:r w:rsidRPr="004D4A2F">
        <w:rPr>
          <w:iCs/>
          <w:lang w:val="ro-RO"/>
        </w:rPr>
        <w:t xml:space="preserve">, de la Ministerul Afacerilor Interne, </w:t>
      </w:r>
      <w:proofErr w:type="spellStart"/>
      <w:r w:rsidRPr="004D4A2F">
        <w:rPr>
          <w:iCs/>
          <w:lang w:val="ro-RO"/>
        </w:rPr>
        <w:t>ofiţeri</w:t>
      </w:r>
      <w:proofErr w:type="spellEnd"/>
      <w:r w:rsidRPr="004D4A2F">
        <w:rPr>
          <w:iCs/>
          <w:lang w:val="ro-RO"/>
        </w:rPr>
        <w:t xml:space="preserve"> şi </w:t>
      </w:r>
      <w:proofErr w:type="spellStart"/>
      <w:r w:rsidRPr="004D4A2F">
        <w:rPr>
          <w:iCs/>
          <w:lang w:val="ro-RO"/>
        </w:rPr>
        <w:t>agenţi</w:t>
      </w:r>
      <w:proofErr w:type="spellEnd"/>
      <w:r w:rsidRPr="004D4A2F">
        <w:rPr>
          <w:iCs/>
          <w:lang w:val="ro-RO"/>
        </w:rPr>
        <w:t xml:space="preserve"> de </w:t>
      </w:r>
      <w:proofErr w:type="spellStart"/>
      <w:r w:rsidRPr="004D4A2F">
        <w:rPr>
          <w:iCs/>
          <w:lang w:val="ro-RO"/>
        </w:rPr>
        <w:t>poliţie</w:t>
      </w:r>
      <w:proofErr w:type="spellEnd"/>
      <w:r w:rsidRPr="004D4A2F">
        <w:rPr>
          <w:iCs/>
          <w:lang w:val="ro-RO"/>
        </w:rPr>
        <w:t xml:space="preserve"> judiciară, în limita  posturilor aprobate potrivit legii, în vederea aplicării </w:t>
      </w:r>
      <w:proofErr w:type="spellStart"/>
      <w:r w:rsidRPr="004D4A2F">
        <w:rPr>
          <w:iCs/>
          <w:lang w:val="ro-RO"/>
        </w:rPr>
        <w:t>dispoziţiilor</w:t>
      </w:r>
      <w:proofErr w:type="spellEnd"/>
      <w:r w:rsidRPr="004D4A2F">
        <w:rPr>
          <w:iCs/>
          <w:lang w:val="ro-RO"/>
        </w:rPr>
        <w:t xml:space="preserve"> art. 142 alin. (1) din Codul de procedură penală.</w:t>
      </w:r>
    </w:p>
    <w:p w:rsidR="000560F5" w:rsidRDefault="00EA4AA8" w:rsidP="00EA4AA8">
      <w:pPr>
        <w:ind w:left="0"/>
        <w:rPr>
          <w:lang w:val="ro-RO"/>
        </w:rPr>
      </w:pPr>
      <w:r w:rsidRPr="004D4A2F">
        <w:rPr>
          <w:iCs/>
          <w:lang w:val="ro-RO"/>
        </w:rPr>
        <w:t>În acest sens, se impune</w:t>
      </w:r>
      <w:r w:rsidRPr="004D4A2F">
        <w:rPr>
          <w:lang w:val="ro-RO"/>
        </w:rPr>
        <w:t xml:space="preserve"> crearea unui serviciu- Serviciul Tehnic - în cadrul Parchetului de pe lângă Înalta Curte de Casație și Justiție în subordinea </w:t>
      </w:r>
      <w:r w:rsidR="000560F5">
        <w:rPr>
          <w:lang w:val="ro-RO"/>
        </w:rPr>
        <w:t>directă a procurorului general.</w:t>
      </w:r>
    </w:p>
    <w:p w:rsidR="00EA4AA8" w:rsidRPr="004D4A2F" w:rsidRDefault="00EA4AA8" w:rsidP="00EA4AA8">
      <w:pPr>
        <w:ind w:left="0"/>
        <w:rPr>
          <w:lang w:val="ro-RO"/>
        </w:rPr>
      </w:pPr>
      <w:r w:rsidRPr="004D4A2F">
        <w:rPr>
          <w:lang w:val="ro-RO"/>
        </w:rPr>
        <w:t>Pentru punerea în aplicare a dispozițiilor arătate mai sus, modificările Regulamentului de organizare și funcționare privesc următoarele aspecte:</w:t>
      </w:r>
    </w:p>
    <w:p w:rsidR="00EA4AA8" w:rsidRPr="004D4A2F" w:rsidRDefault="00EA4AA8" w:rsidP="00EA4AA8">
      <w:pPr>
        <w:ind w:left="0"/>
        <w:rPr>
          <w:lang w:val="ro-RO"/>
        </w:rPr>
      </w:pPr>
      <w:r w:rsidRPr="004D4A2F">
        <w:rPr>
          <w:b/>
          <w:lang w:val="ro-RO"/>
        </w:rPr>
        <w:t>- completarea articolului 3</w:t>
      </w:r>
      <w:r w:rsidRPr="004D4A2F">
        <w:rPr>
          <w:lang w:val="ro-RO"/>
        </w:rPr>
        <w:t xml:space="preserve"> cu noile categorii de personal, ofițeri și agenți de poliție judiciară;</w:t>
      </w:r>
    </w:p>
    <w:p w:rsidR="00EA4AA8" w:rsidRPr="004D4A2F" w:rsidRDefault="00EA4AA8" w:rsidP="00EA4AA8">
      <w:pPr>
        <w:ind w:left="0"/>
        <w:rPr>
          <w:lang w:val="ro-RO"/>
        </w:rPr>
      </w:pPr>
      <w:r w:rsidRPr="004D4A2F">
        <w:rPr>
          <w:lang w:val="ro-RO"/>
        </w:rPr>
        <w:t xml:space="preserve">- </w:t>
      </w:r>
      <w:r w:rsidRPr="004D4A2F">
        <w:rPr>
          <w:b/>
          <w:lang w:val="ro-RO"/>
        </w:rPr>
        <w:t>introducerea unui nou articol 7</w:t>
      </w:r>
      <w:r w:rsidRPr="004D4A2F">
        <w:rPr>
          <w:b/>
          <w:vertAlign w:val="superscript"/>
          <w:lang w:val="ro-RO"/>
        </w:rPr>
        <w:t>1</w:t>
      </w:r>
      <w:r w:rsidRPr="004D4A2F">
        <w:rPr>
          <w:vertAlign w:val="superscript"/>
          <w:lang w:val="ro-RO"/>
        </w:rPr>
        <w:t xml:space="preserve"> </w:t>
      </w:r>
      <w:r w:rsidRPr="004D4A2F">
        <w:rPr>
          <w:lang w:val="ro-RO"/>
        </w:rPr>
        <w:t xml:space="preserve">cu funcțiile de ofițer de poliție judiciară și agent de poliție judiciară; </w:t>
      </w:r>
    </w:p>
    <w:p w:rsidR="00300F6F" w:rsidRDefault="00EA4AA8" w:rsidP="00300F6F">
      <w:pPr>
        <w:autoSpaceDE w:val="0"/>
        <w:autoSpaceDN w:val="0"/>
        <w:adjustRightInd w:val="0"/>
        <w:spacing w:after="0"/>
        <w:ind w:left="0"/>
        <w:rPr>
          <w:lang w:val="ro-RO"/>
        </w:rPr>
      </w:pPr>
      <w:r w:rsidRPr="004D4A2F">
        <w:rPr>
          <w:lang w:val="ro-RO"/>
        </w:rPr>
        <w:lastRenderedPageBreak/>
        <w:t xml:space="preserve">- </w:t>
      </w:r>
      <w:r w:rsidR="00300F6F" w:rsidRPr="004D4A2F">
        <w:rPr>
          <w:b/>
          <w:lang w:val="ro-RO"/>
        </w:rPr>
        <w:t>completarea articolului 11</w:t>
      </w:r>
      <w:r w:rsidR="00300F6F" w:rsidRPr="004D4A2F">
        <w:rPr>
          <w:rFonts w:ascii="Times New Roman" w:hAnsi="Times New Roman"/>
          <w:b/>
          <w:bCs/>
          <w:sz w:val="28"/>
          <w:szCs w:val="28"/>
          <w:lang w:val="ro-RO"/>
        </w:rPr>
        <w:t xml:space="preserve"> </w:t>
      </w:r>
      <w:r w:rsidR="00300F6F" w:rsidRPr="004D4A2F">
        <w:rPr>
          <w:bCs/>
          <w:lang w:val="ro-RO"/>
        </w:rPr>
        <w:t xml:space="preserve">privind structura Parchetului de pe lângă Înalta Curte de </w:t>
      </w:r>
      <w:proofErr w:type="spellStart"/>
      <w:r w:rsidR="00300F6F" w:rsidRPr="004D4A2F">
        <w:rPr>
          <w:bCs/>
          <w:lang w:val="ro-RO"/>
        </w:rPr>
        <w:t>Casaţie</w:t>
      </w:r>
      <w:proofErr w:type="spellEnd"/>
      <w:r w:rsidR="00300F6F" w:rsidRPr="004D4A2F">
        <w:rPr>
          <w:bCs/>
          <w:lang w:val="ro-RO"/>
        </w:rPr>
        <w:t xml:space="preserve"> şi </w:t>
      </w:r>
      <w:proofErr w:type="spellStart"/>
      <w:r w:rsidR="00300F6F" w:rsidRPr="004D4A2F">
        <w:rPr>
          <w:bCs/>
          <w:lang w:val="ro-RO"/>
        </w:rPr>
        <w:t>Justiţie</w:t>
      </w:r>
      <w:proofErr w:type="spellEnd"/>
      <w:r w:rsidR="00300F6F" w:rsidRPr="004D4A2F">
        <w:rPr>
          <w:bCs/>
          <w:lang w:val="ro-RO"/>
        </w:rPr>
        <w:t xml:space="preserve"> prin introducerea Serviciului Tehnic</w:t>
      </w:r>
      <w:r w:rsidR="00300F6F">
        <w:rPr>
          <w:bCs/>
          <w:lang w:val="ro-RO"/>
        </w:rPr>
        <w:t xml:space="preserve"> și modificarea denumirii Biroului de informare publică și relații cu presa în Biroul de informare și relații publice</w:t>
      </w:r>
      <w:r w:rsidR="00300F6F">
        <w:rPr>
          <w:lang w:val="ro-RO"/>
        </w:rPr>
        <w:t>;</w:t>
      </w:r>
    </w:p>
    <w:p w:rsidR="00EA4AA8" w:rsidRDefault="00EA4AA8" w:rsidP="00EA4AA8">
      <w:pPr>
        <w:autoSpaceDE w:val="0"/>
        <w:autoSpaceDN w:val="0"/>
        <w:adjustRightInd w:val="0"/>
        <w:spacing w:after="0"/>
        <w:ind w:left="0"/>
        <w:rPr>
          <w:lang w:val="ro-RO"/>
        </w:rPr>
      </w:pPr>
    </w:p>
    <w:p w:rsidR="00EA4AA8" w:rsidRPr="006D26CC" w:rsidRDefault="00EA4AA8" w:rsidP="00EA4AA8">
      <w:pPr>
        <w:ind w:left="0"/>
        <w:rPr>
          <w:lang w:val="ro-RO"/>
        </w:rPr>
      </w:pPr>
      <w:r>
        <w:rPr>
          <w:lang w:val="ro-RO"/>
        </w:rPr>
        <w:t xml:space="preserve">- </w:t>
      </w:r>
      <w:r w:rsidRPr="006D26CC">
        <w:rPr>
          <w:b/>
          <w:lang w:val="ro-RO"/>
        </w:rPr>
        <w:t xml:space="preserve">modificarea Titlului III- </w:t>
      </w:r>
      <w:r w:rsidRPr="00AE2849">
        <w:rPr>
          <w:lang w:val="ro-RO"/>
        </w:rPr>
        <w:t>Organizarea și funcționarea Parchetului de pe lângă Înalta Curte de Casație și Justiție, prin introducerea unui nou Capitol, Cap.VII</w:t>
      </w:r>
      <w:r w:rsidRPr="00AE2849">
        <w:rPr>
          <w:vertAlign w:val="superscript"/>
          <w:lang w:val="ro-RO"/>
        </w:rPr>
        <w:t xml:space="preserve">1 </w:t>
      </w:r>
      <w:r w:rsidRPr="00AE2849">
        <w:rPr>
          <w:lang w:val="ro-RO"/>
        </w:rPr>
        <w:t>, privind Serviciul tehnic</w:t>
      </w:r>
      <w:r>
        <w:rPr>
          <w:b/>
          <w:lang w:val="ro-RO"/>
        </w:rPr>
        <w:t xml:space="preserve"> </w:t>
      </w:r>
      <w:r w:rsidRPr="006D26CC">
        <w:rPr>
          <w:lang w:val="ro-RO"/>
        </w:rPr>
        <w:t>care va reglementa</w:t>
      </w:r>
      <w:r>
        <w:rPr>
          <w:b/>
          <w:lang w:val="ro-RO"/>
        </w:rPr>
        <w:t>, prin art.</w:t>
      </w:r>
      <w:r w:rsidRPr="00405B72">
        <w:rPr>
          <w:b/>
          <w:lang w:val="ro-RO"/>
        </w:rPr>
        <w:t>52</w:t>
      </w:r>
      <w:r>
        <w:rPr>
          <w:b/>
          <w:lang w:val="ro-RO"/>
        </w:rPr>
        <w:t xml:space="preserve"> </w:t>
      </w:r>
      <w:r>
        <w:rPr>
          <w:b/>
          <w:vertAlign w:val="superscript"/>
          <w:lang w:val="ro-RO"/>
        </w:rPr>
        <w:t xml:space="preserve">1  </w:t>
      </w:r>
      <w:r>
        <w:rPr>
          <w:b/>
          <w:lang w:val="ro-RO"/>
        </w:rPr>
        <w:t xml:space="preserve">, </w:t>
      </w:r>
      <w:r w:rsidRPr="00405B72">
        <w:rPr>
          <w:lang w:val="ro-RO"/>
        </w:rPr>
        <w:t>atribuțiile</w:t>
      </w:r>
      <w:r w:rsidR="000560F5">
        <w:rPr>
          <w:lang w:val="ro-RO"/>
        </w:rPr>
        <w:t xml:space="preserve"> Serviciului tehnic </w:t>
      </w:r>
      <w:r w:rsidRPr="006D26CC">
        <w:rPr>
          <w:lang w:val="ro-RO"/>
        </w:rPr>
        <w:t>și ale conducerii acestui compartiment;</w:t>
      </w:r>
    </w:p>
    <w:p w:rsidR="00EA4AA8" w:rsidRDefault="00EA4AA8" w:rsidP="00EA4AA8">
      <w:pPr>
        <w:autoSpaceDE w:val="0"/>
        <w:autoSpaceDN w:val="0"/>
        <w:adjustRightInd w:val="0"/>
        <w:ind w:left="0"/>
        <w:rPr>
          <w:color w:val="000000"/>
          <w:lang w:eastAsia="ro-RO"/>
        </w:rPr>
      </w:pPr>
      <w:r w:rsidRPr="000B6FAD">
        <w:rPr>
          <w:lang w:val="ro-RO"/>
        </w:rPr>
        <w:t xml:space="preserve">II. </w:t>
      </w:r>
      <w:r>
        <w:rPr>
          <w:lang w:val="ro-RO"/>
        </w:rPr>
        <w:t>În Referatul de aprobare se arată că p</w:t>
      </w:r>
      <w:proofErr w:type="spellStart"/>
      <w:r w:rsidRPr="000B6FAD">
        <w:t>ractica</w:t>
      </w:r>
      <w:proofErr w:type="spellEnd"/>
      <w:r w:rsidRPr="000B6FAD">
        <w:t xml:space="preserve"> de </w:t>
      </w:r>
      <w:proofErr w:type="spellStart"/>
      <w:r w:rsidRPr="000B6FAD">
        <w:t>aplicare</w:t>
      </w:r>
      <w:proofErr w:type="spellEnd"/>
      <w:r w:rsidRPr="000B6FAD">
        <w:t xml:space="preserve"> a </w:t>
      </w:r>
      <w:proofErr w:type="spellStart"/>
      <w:r w:rsidRPr="000B6FAD">
        <w:t>dispozițiilor</w:t>
      </w:r>
      <w:proofErr w:type="spellEnd"/>
      <w:r w:rsidRPr="000B6FAD">
        <w:t xml:space="preserve"> </w:t>
      </w:r>
      <w:proofErr w:type="spellStart"/>
      <w:r w:rsidRPr="000B6FAD">
        <w:t>Regulamentului</w:t>
      </w:r>
      <w:proofErr w:type="spellEnd"/>
      <w:r w:rsidRPr="000B6FAD">
        <w:t xml:space="preserve"> de </w:t>
      </w:r>
      <w:proofErr w:type="spellStart"/>
      <w:r w:rsidRPr="000B6FAD">
        <w:t>ordine</w:t>
      </w:r>
      <w:proofErr w:type="spellEnd"/>
      <w:r w:rsidRPr="000B6FAD">
        <w:t xml:space="preserve"> </w:t>
      </w:r>
      <w:proofErr w:type="spellStart"/>
      <w:r w:rsidRPr="000B6FAD">
        <w:t>interioară</w:t>
      </w:r>
      <w:proofErr w:type="spellEnd"/>
      <w:r w:rsidRPr="000B6FAD">
        <w:t xml:space="preserve"> al </w:t>
      </w:r>
      <w:proofErr w:type="spellStart"/>
      <w:r w:rsidRPr="000B6FAD">
        <w:t>parchetelor</w:t>
      </w:r>
      <w:proofErr w:type="spellEnd"/>
      <w:r w:rsidRPr="000B6FAD">
        <w:t xml:space="preserve"> </w:t>
      </w:r>
      <w:proofErr w:type="spellStart"/>
      <w:r w:rsidRPr="000B6FAD">
        <w:t>și</w:t>
      </w:r>
      <w:proofErr w:type="spellEnd"/>
      <w:r w:rsidRPr="000B6FAD">
        <w:t xml:space="preserve"> </w:t>
      </w:r>
      <w:proofErr w:type="spellStart"/>
      <w:r w:rsidRPr="000B6FAD">
        <w:t>evoluția</w:t>
      </w:r>
      <w:proofErr w:type="spellEnd"/>
      <w:r w:rsidRPr="000B6FAD">
        <w:t xml:space="preserve"> </w:t>
      </w:r>
      <w:proofErr w:type="spellStart"/>
      <w:r w:rsidRPr="000B6FAD">
        <w:t>legislației</w:t>
      </w:r>
      <w:proofErr w:type="spellEnd"/>
      <w:r w:rsidRPr="000B6FAD">
        <w:t xml:space="preserve"> </w:t>
      </w:r>
      <w:proofErr w:type="spellStart"/>
      <w:r w:rsidRPr="000B6FAD">
        <w:t>corelative</w:t>
      </w:r>
      <w:proofErr w:type="spellEnd"/>
      <w:r w:rsidRPr="000B6FAD">
        <w:t xml:space="preserve"> au </w:t>
      </w:r>
      <w:proofErr w:type="spellStart"/>
      <w:r w:rsidRPr="000B6FAD">
        <w:t>condus</w:t>
      </w:r>
      <w:proofErr w:type="spellEnd"/>
      <w:r w:rsidRPr="000B6FAD">
        <w:t xml:space="preserve"> la </w:t>
      </w:r>
      <w:proofErr w:type="spellStart"/>
      <w:r w:rsidRPr="000B6FAD">
        <w:t>formularea</w:t>
      </w:r>
      <w:proofErr w:type="spellEnd"/>
      <w:r w:rsidRPr="000B6FAD">
        <w:t xml:space="preserve"> </w:t>
      </w:r>
      <w:proofErr w:type="spellStart"/>
      <w:r w:rsidRPr="000B6FAD">
        <w:t>unor</w:t>
      </w:r>
      <w:proofErr w:type="spellEnd"/>
      <w:r w:rsidRPr="000B6FAD">
        <w:t xml:space="preserve"> </w:t>
      </w:r>
      <w:proofErr w:type="spellStart"/>
      <w:r w:rsidRPr="000B6FAD">
        <w:t>propuneri</w:t>
      </w:r>
      <w:proofErr w:type="spellEnd"/>
      <w:r w:rsidRPr="000B6FAD">
        <w:t xml:space="preserve"> de </w:t>
      </w:r>
      <w:proofErr w:type="spellStart"/>
      <w:r w:rsidRPr="000B6FAD">
        <w:t>modificare</w:t>
      </w:r>
      <w:proofErr w:type="spellEnd"/>
      <w:r w:rsidRPr="000B6FAD">
        <w:t xml:space="preserve"> </w:t>
      </w:r>
      <w:proofErr w:type="spellStart"/>
      <w:r w:rsidRPr="000B6FAD">
        <w:t>și</w:t>
      </w:r>
      <w:proofErr w:type="spellEnd"/>
      <w:r w:rsidRPr="000B6FAD">
        <w:rPr>
          <w:color w:val="000000"/>
          <w:lang w:eastAsia="ro-RO"/>
        </w:rPr>
        <w:t xml:space="preserve"> </w:t>
      </w:r>
      <w:proofErr w:type="spellStart"/>
      <w:r w:rsidRPr="000B6FAD">
        <w:rPr>
          <w:color w:val="000000"/>
          <w:lang w:eastAsia="ro-RO"/>
        </w:rPr>
        <w:t>completare</w:t>
      </w:r>
      <w:proofErr w:type="spellEnd"/>
      <w:r>
        <w:rPr>
          <w:color w:val="000000"/>
          <w:lang w:eastAsia="ro-RO"/>
        </w:rPr>
        <w:t xml:space="preserve"> a </w:t>
      </w:r>
      <w:proofErr w:type="spellStart"/>
      <w:r>
        <w:rPr>
          <w:color w:val="000000"/>
          <w:lang w:eastAsia="ro-RO"/>
        </w:rPr>
        <w:t>acestuia</w:t>
      </w:r>
      <w:proofErr w:type="spellEnd"/>
      <w:r w:rsidRPr="000B6FAD">
        <w:rPr>
          <w:color w:val="000000"/>
          <w:lang w:eastAsia="ro-RO"/>
        </w:rPr>
        <w:t xml:space="preserve">, </w:t>
      </w:r>
      <w:proofErr w:type="spellStart"/>
      <w:r w:rsidRPr="000B6FAD">
        <w:rPr>
          <w:color w:val="000000"/>
          <w:lang w:eastAsia="ro-RO"/>
        </w:rPr>
        <w:t>după</w:t>
      </w:r>
      <w:proofErr w:type="spellEnd"/>
      <w:r w:rsidRPr="000B6FAD">
        <w:rPr>
          <w:color w:val="000000"/>
          <w:lang w:eastAsia="ro-RO"/>
        </w:rPr>
        <w:t xml:space="preserve"> cum </w:t>
      </w:r>
      <w:proofErr w:type="spellStart"/>
      <w:r w:rsidRPr="000B6FAD">
        <w:rPr>
          <w:color w:val="000000"/>
          <w:lang w:eastAsia="ro-RO"/>
        </w:rPr>
        <w:t>urmează</w:t>
      </w:r>
      <w:proofErr w:type="spellEnd"/>
      <w:r w:rsidRPr="000B6FAD">
        <w:rPr>
          <w:color w:val="000000"/>
          <w:lang w:eastAsia="ro-RO"/>
        </w:rPr>
        <w:t>:</w:t>
      </w:r>
    </w:p>
    <w:p w:rsidR="00EA4AA8" w:rsidRPr="00BB4C87" w:rsidRDefault="00EA4AA8" w:rsidP="00EA4AA8">
      <w:pPr>
        <w:autoSpaceDE w:val="0"/>
        <w:autoSpaceDN w:val="0"/>
        <w:adjustRightInd w:val="0"/>
        <w:ind w:left="0"/>
        <w:rPr>
          <w:lang w:val="ro-RO"/>
        </w:rPr>
      </w:pPr>
      <w:r w:rsidRPr="00BB4C87">
        <w:rPr>
          <w:b/>
          <w:lang w:val="ro-RO"/>
        </w:rPr>
        <w:t xml:space="preserve"> </w:t>
      </w:r>
      <w:r w:rsidRPr="00C7277A">
        <w:rPr>
          <w:b/>
          <w:lang w:val="ro-RO"/>
        </w:rPr>
        <w:t>-</w:t>
      </w:r>
      <w:r w:rsidR="001C6EC7">
        <w:rPr>
          <w:b/>
          <w:lang w:val="ro-RO"/>
        </w:rPr>
        <w:t xml:space="preserve"> </w:t>
      </w:r>
      <w:r w:rsidRPr="00C7277A">
        <w:rPr>
          <w:b/>
          <w:lang w:val="ro-RO"/>
        </w:rPr>
        <w:t>modificarea art.</w:t>
      </w:r>
      <w:r w:rsidR="001C6EC7">
        <w:rPr>
          <w:b/>
          <w:lang w:val="ro-RO"/>
        </w:rPr>
        <w:t xml:space="preserve"> </w:t>
      </w:r>
      <w:r w:rsidRPr="00C7277A">
        <w:rPr>
          <w:b/>
          <w:lang w:val="ro-RO"/>
        </w:rPr>
        <w:t xml:space="preserve">39 </w:t>
      </w:r>
      <w:r>
        <w:rPr>
          <w:b/>
          <w:lang w:val="ro-RO"/>
        </w:rPr>
        <w:t xml:space="preserve"> </w:t>
      </w:r>
      <w:r>
        <w:rPr>
          <w:lang w:val="ro-RO"/>
        </w:rPr>
        <w:t>prin introducerea unei noi litere, ”v</w:t>
      </w:r>
      <w:r>
        <w:rPr>
          <w:vertAlign w:val="superscript"/>
          <w:lang w:val="ro-RO"/>
        </w:rPr>
        <w:t xml:space="preserve">1  ” </w:t>
      </w:r>
      <w:r>
        <w:rPr>
          <w:lang w:val="ro-RO"/>
        </w:rPr>
        <w:t>cu atribuții privind evidența și datele de contact ale tuturor categoriilor de personal care beneficiază  de pensie de serviciu;</w:t>
      </w:r>
    </w:p>
    <w:p w:rsidR="00EA4AA8" w:rsidRDefault="00EA4AA8" w:rsidP="00EA4AA8">
      <w:pPr>
        <w:autoSpaceDE w:val="0"/>
        <w:autoSpaceDN w:val="0"/>
        <w:adjustRightInd w:val="0"/>
        <w:ind w:left="0"/>
        <w:rPr>
          <w:lang w:val="ro-RO"/>
        </w:rPr>
      </w:pPr>
      <w:r>
        <w:rPr>
          <w:lang w:val="ro-RO"/>
        </w:rPr>
        <w:t>-</w:t>
      </w:r>
      <w:r w:rsidRPr="00525B93">
        <w:rPr>
          <w:b/>
          <w:lang w:val="ro-RO"/>
        </w:rPr>
        <w:t>Completarea art. 77</w:t>
      </w:r>
      <w:r w:rsidRPr="00525B93">
        <w:rPr>
          <w:lang w:val="ro-RO"/>
        </w:rPr>
        <w:t xml:space="preserve"> </w:t>
      </w:r>
      <w:r>
        <w:rPr>
          <w:lang w:val="ro-RO"/>
        </w:rPr>
        <w:t>cu</w:t>
      </w:r>
      <w:r w:rsidRPr="00525B93">
        <w:rPr>
          <w:lang w:val="ro-RO"/>
        </w:rPr>
        <w:t xml:space="preserve"> atribuțiile personalului de specialitate juridică asimilat </w:t>
      </w:r>
      <w:r w:rsidRPr="002D5827">
        <w:rPr>
          <w:lang w:val="ro-RO"/>
        </w:rPr>
        <w:t>judecătorilor şi procurorilor d</w:t>
      </w:r>
      <w:r>
        <w:rPr>
          <w:lang w:val="ro-RO"/>
        </w:rPr>
        <w:t>e la</w:t>
      </w:r>
      <w:r w:rsidRPr="002D5827">
        <w:rPr>
          <w:lang w:val="ro-RO"/>
        </w:rPr>
        <w:t xml:space="preserve"> p</w:t>
      </w:r>
      <w:r>
        <w:rPr>
          <w:lang w:val="ro-RO"/>
        </w:rPr>
        <w:t>archetele</w:t>
      </w:r>
      <w:r w:rsidRPr="002D5827">
        <w:rPr>
          <w:lang w:val="ro-RO"/>
        </w:rPr>
        <w:t xml:space="preserve"> pe lângă </w:t>
      </w:r>
      <w:proofErr w:type="spellStart"/>
      <w:r w:rsidRPr="002D5827">
        <w:rPr>
          <w:lang w:val="ro-RO"/>
        </w:rPr>
        <w:t>curţile</w:t>
      </w:r>
      <w:proofErr w:type="spellEnd"/>
      <w:r w:rsidRPr="002D5827">
        <w:rPr>
          <w:lang w:val="ro-RO"/>
        </w:rPr>
        <w:t xml:space="preserve"> de apel, făcându-se trimitere la dispozițiile art. 60-61 </w:t>
      </w:r>
      <w:r>
        <w:rPr>
          <w:lang w:val="ro-RO"/>
        </w:rPr>
        <w:t xml:space="preserve">privind </w:t>
      </w:r>
      <w:r w:rsidRPr="002D5827">
        <w:rPr>
          <w:lang w:val="ro-RO"/>
        </w:rPr>
        <w:t xml:space="preserve">atribuțiile Biroului </w:t>
      </w:r>
      <w:r>
        <w:rPr>
          <w:lang w:val="ro-RO"/>
        </w:rPr>
        <w:t>Juridic din cadrul Parchetului de pe lângă Înalta Curte de Casație și Justiție;</w:t>
      </w:r>
    </w:p>
    <w:p w:rsidR="00EA4AA8" w:rsidRDefault="00EA4AA8" w:rsidP="00EA4AA8">
      <w:pPr>
        <w:autoSpaceDE w:val="0"/>
        <w:autoSpaceDN w:val="0"/>
        <w:adjustRightInd w:val="0"/>
        <w:ind w:left="0"/>
        <w:rPr>
          <w:lang w:val="ro-RO"/>
        </w:rPr>
      </w:pPr>
      <w:r w:rsidRPr="00C7277A">
        <w:rPr>
          <w:b/>
          <w:lang w:val="ro-RO"/>
        </w:rPr>
        <w:t>-completarea</w:t>
      </w:r>
      <w:r>
        <w:rPr>
          <w:b/>
          <w:lang w:val="ro-RO"/>
        </w:rPr>
        <w:t xml:space="preserve"> art. 83 alin.(3) </w:t>
      </w:r>
      <w:r>
        <w:rPr>
          <w:lang w:val="ro-RO"/>
        </w:rPr>
        <w:t xml:space="preserve"> cu trimitere la atribuțiile Serviciului de organizare și resurse umane prevăzute în art.39, deoarece în cadrul departamentelor </w:t>
      </w:r>
      <w:proofErr w:type="spellStart"/>
      <w:r>
        <w:rPr>
          <w:lang w:val="ro-RO"/>
        </w:rPr>
        <w:t>economico</w:t>
      </w:r>
      <w:proofErr w:type="spellEnd"/>
      <w:r>
        <w:rPr>
          <w:lang w:val="ro-RO"/>
        </w:rPr>
        <w:t>-financiare și administrative de la parchetele de pe lângă curțile de apel funcționează consilieri economici care au anumite atribuții în domeniul resurselor umane;</w:t>
      </w:r>
    </w:p>
    <w:p w:rsidR="00EA4AA8" w:rsidRDefault="00EA4AA8" w:rsidP="00EA4AA8">
      <w:pPr>
        <w:autoSpaceDE w:val="0"/>
        <w:autoSpaceDN w:val="0"/>
        <w:adjustRightInd w:val="0"/>
        <w:ind w:left="0"/>
        <w:rPr>
          <w:b/>
          <w:lang w:val="ro-RO"/>
        </w:rPr>
      </w:pPr>
      <w:r>
        <w:rPr>
          <w:lang w:val="ro-RO"/>
        </w:rPr>
        <w:t>-</w:t>
      </w:r>
      <w:r>
        <w:rPr>
          <w:b/>
          <w:lang w:val="ro-RO"/>
        </w:rPr>
        <w:t xml:space="preserve">abrogarea art.169, </w:t>
      </w:r>
      <w:r>
        <w:rPr>
          <w:lang w:val="ro-RO"/>
        </w:rPr>
        <w:t xml:space="preserve">urmând ca situația casării ștampilelor și sigiliilor scoase din uz să fie reglementată prin ordin al procurorului general al Parchetului de pe lângă Înalta Curte de Casație și Justiție </w:t>
      </w:r>
      <w:r>
        <w:rPr>
          <w:b/>
          <w:lang w:val="ro-RO"/>
        </w:rPr>
        <w:t>;</w:t>
      </w:r>
    </w:p>
    <w:p w:rsidR="00EA4AA8" w:rsidRDefault="00EA4AA8" w:rsidP="00EA4AA8">
      <w:pPr>
        <w:autoSpaceDE w:val="0"/>
        <w:autoSpaceDN w:val="0"/>
        <w:adjustRightInd w:val="0"/>
        <w:ind w:left="0"/>
        <w:rPr>
          <w:lang w:val="ro-RO"/>
        </w:rPr>
      </w:pPr>
      <w:r>
        <w:rPr>
          <w:b/>
          <w:lang w:val="ro-RO"/>
        </w:rPr>
        <w:t>-</w:t>
      </w:r>
      <w:r w:rsidR="001C6EC7">
        <w:rPr>
          <w:b/>
          <w:lang w:val="ro-RO"/>
        </w:rPr>
        <w:t xml:space="preserve"> </w:t>
      </w:r>
      <w:r>
        <w:rPr>
          <w:b/>
          <w:lang w:val="ro-RO"/>
        </w:rPr>
        <w:t xml:space="preserve">modificarea art. 178 </w:t>
      </w:r>
      <w:r>
        <w:rPr>
          <w:lang w:val="ro-RO"/>
        </w:rPr>
        <w:t xml:space="preserve">prin eliminarea obligației Departamentului </w:t>
      </w:r>
      <w:proofErr w:type="spellStart"/>
      <w:r>
        <w:rPr>
          <w:lang w:val="ro-RO"/>
        </w:rPr>
        <w:t>economico</w:t>
      </w:r>
      <w:proofErr w:type="spellEnd"/>
      <w:r>
        <w:rPr>
          <w:lang w:val="ro-RO"/>
        </w:rPr>
        <w:t>-financiar și administrativ de a urmări modul în care se pun în executare ordonanțele  prin care s-a dispus aplicarea de amenzi sau obligarea la cheltuieli judiciare;</w:t>
      </w:r>
    </w:p>
    <w:p w:rsidR="0013178F" w:rsidRDefault="00EA4AA8" w:rsidP="00C323B7">
      <w:pPr>
        <w:autoSpaceDE w:val="0"/>
        <w:autoSpaceDN w:val="0"/>
        <w:adjustRightInd w:val="0"/>
        <w:ind w:left="0"/>
        <w:rPr>
          <w:lang w:val="ro-RO"/>
        </w:rPr>
      </w:pPr>
      <w:r>
        <w:rPr>
          <w:b/>
          <w:lang w:val="ro-RO"/>
        </w:rPr>
        <w:t xml:space="preserve">-modificarea art.192 </w:t>
      </w:r>
      <w:r>
        <w:rPr>
          <w:lang w:val="ro-RO"/>
        </w:rPr>
        <w:t>urmând să fie adăugată în cuprinsul acestuia teza ”și scoaterea din uz” (cu referire la ștampile, sigilii, imprimante);</w:t>
      </w:r>
    </w:p>
    <w:p w:rsidR="005E2E7D" w:rsidRDefault="005E2E7D" w:rsidP="00C323B7">
      <w:pPr>
        <w:autoSpaceDE w:val="0"/>
        <w:autoSpaceDN w:val="0"/>
        <w:adjustRightInd w:val="0"/>
        <w:ind w:left="0"/>
        <w:rPr>
          <w:lang w:val="ro-RO"/>
        </w:rPr>
      </w:pPr>
    </w:p>
    <w:p w:rsidR="00C062D5" w:rsidRDefault="00C062D5" w:rsidP="00C062D5">
      <w:pPr>
        <w:autoSpaceDE w:val="0"/>
        <w:autoSpaceDN w:val="0"/>
        <w:adjustRightInd w:val="0"/>
        <w:ind w:left="0"/>
        <w:rPr>
          <w:lang w:val="ro-RO"/>
        </w:rPr>
      </w:pPr>
    </w:p>
    <w:p w:rsidR="00C062D5" w:rsidRDefault="00C062D5" w:rsidP="00C062D5">
      <w:pPr>
        <w:autoSpaceDE w:val="0"/>
        <w:autoSpaceDN w:val="0"/>
        <w:adjustRightInd w:val="0"/>
        <w:ind w:left="0"/>
        <w:rPr>
          <w:lang w:val="ro-RO"/>
        </w:rPr>
      </w:pPr>
    </w:p>
    <w:p w:rsidR="00C062D5" w:rsidRDefault="00C062D5" w:rsidP="00C062D5">
      <w:pPr>
        <w:autoSpaceDE w:val="0"/>
        <w:autoSpaceDN w:val="0"/>
        <w:adjustRightInd w:val="0"/>
        <w:ind w:left="0"/>
        <w:rPr>
          <w:lang w:val="ro-RO"/>
        </w:rPr>
      </w:pPr>
    </w:p>
    <w:p w:rsidR="00C062D5" w:rsidRDefault="00C062D5" w:rsidP="00C062D5">
      <w:pPr>
        <w:autoSpaceDE w:val="0"/>
        <w:autoSpaceDN w:val="0"/>
        <w:adjustRightInd w:val="0"/>
        <w:ind w:left="0"/>
        <w:rPr>
          <w:lang w:val="ro-RO"/>
        </w:rPr>
      </w:pPr>
    </w:p>
    <w:p w:rsidR="00C062D5" w:rsidRDefault="00C062D5" w:rsidP="00C062D5">
      <w:pPr>
        <w:autoSpaceDE w:val="0"/>
        <w:autoSpaceDN w:val="0"/>
        <w:adjustRightInd w:val="0"/>
        <w:ind w:left="0"/>
        <w:rPr>
          <w:lang w:val="ro-RO"/>
        </w:rPr>
      </w:pPr>
    </w:p>
    <w:p w:rsidR="00C062D5" w:rsidRDefault="00C062D5" w:rsidP="00C062D5">
      <w:pPr>
        <w:autoSpaceDE w:val="0"/>
        <w:autoSpaceDN w:val="0"/>
        <w:adjustRightInd w:val="0"/>
        <w:ind w:left="0"/>
        <w:rPr>
          <w:lang w:val="ro-RO"/>
        </w:rPr>
      </w:pPr>
    </w:p>
    <w:p w:rsidR="00C062D5" w:rsidRDefault="00C062D5" w:rsidP="00C062D5">
      <w:pPr>
        <w:ind w:left="0"/>
        <w:rPr>
          <w:lang w:val="ro-RO"/>
        </w:rPr>
      </w:pPr>
    </w:p>
    <w:p w:rsidR="00C062D5" w:rsidRDefault="00C062D5" w:rsidP="00C062D5">
      <w:pPr>
        <w:autoSpaceDE w:val="0"/>
        <w:autoSpaceDN w:val="0"/>
        <w:adjustRightInd w:val="0"/>
        <w:ind w:left="0"/>
        <w:rPr>
          <w:lang w:val="ro-RO"/>
        </w:rPr>
      </w:pPr>
    </w:p>
    <w:p w:rsidR="00AE0823" w:rsidRDefault="00AE0823" w:rsidP="00AE0823">
      <w:pPr>
        <w:autoSpaceDE w:val="0"/>
        <w:autoSpaceDN w:val="0"/>
        <w:adjustRightInd w:val="0"/>
        <w:ind w:left="0"/>
        <w:rPr>
          <w:lang w:val="ro-RO"/>
        </w:rPr>
      </w:pPr>
    </w:p>
    <w:sectPr w:rsidR="00AE0823" w:rsidSect="00E80D5E">
      <w:headerReference w:type="default" r:id="rId8"/>
      <w:footerReference w:type="default" r:id="rId9"/>
      <w:headerReference w:type="first" r:id="rId10"/>
      <w:footerReference w:type="first" r:id="rId11"/>
      <w:pgSz w:w="11900" w:h="16840"/>
      <w:pgMar w:top="1418"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AE" w:rsidRDefault="00DC7BAE" w:rsidP="00CD5B3B">
      <w:r>
        <w:separator/>
      </w:r>
    </w:p>
  </w:endnote>
  <w:endnote w:type="continuationSeparator" w:id="0">
    <w:p w:rsidR="00DC7BAE" w:rsidRDefault="00DC7BA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A00B13" w:rsidTr="008C59B4">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8"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DC7BAE"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036CF6" w:rsidRPr="00036CF6">
              <w:rPr>
                <w:color w:val="0000FF" w:themeColor="hyperlink"/>
                <w:sz w:val="14"/>
                <w:szCs w:val="14"/>
                <w:u w:val="single"/>
              </w:rPr>
              <w:t>www.just.ro</w:t>
            </w:r>
          </w:hyperlink>
        </w:p>
      </w:tc>
      <w:tc>
        <w:tcPr>
          <w:tcW w:w="2981" w:type="dxa"/>
          <w:shd w:val="clear" w:color="auto" w:fill="auto"/>
          <w:vAlign w:val="center"/>
        </w:tcPr>
        <w:p w:rsidR="00036CF6" w:rsidRPr="00763EB6" w:rsidRDefault="00036CF6" w:rsidP="00036CF6">
          <w:pPr>
            <w:tabs>
              <w:tab w:val="center" w:pos="4536"/>
              <w:tab w:val="right" w:pos="9072"/>
            </w:tabs>
            <w:spacing w:after="0" w:line="240" w:lineRule="auto"/>
            <w:ind w:left="0"/>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AB6A0A">
            <w:rPr>
              <w:noProof/>
              <w:sz w:val="14"/>
              <w:szCs w:val="14"/>
              <w:lang w:val="es-ES"/>
            </w:rPr>
            <w:t>2</w:t>
          </w:r>
          <w:r w:rsidRPr="00036CF6">
            <w:rPr>
              <w:sz w:val="14"/>
              <w:szCs w:val="14"/>
            </w:rPr>
            <w:fldChar w:fldCharType="end"/>
          </w:r>
          <w:r w:rsidRPr="00763EB6">
            <w:rPr>
              <w:sz w:val="14"/>
              <w:szCs w:val="14"/>
              <w:lang w:val="es-ES"/>
            </w:rPr>
            <w:t xml:space="preserve"> </w:t>
          </w:r>
          <w:proofErr w:type="spellStart"/>
          <w:r w:rsidRPr="00763EB6">
            <w:rPr>
              <w:sz w:val="14"/>
              <w:szCs w:val="14"/>
              <w:lang w:val="es-ES"/>
            </w:rPr>
            <w:t>din</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AB6A0A">
            <w:rPr>
              <w:noProof/>
              <w:sz w:val="14"/>
              <w:szCs w:val="14"/>
              <w:lang w:val="es-ES"/>
            </w:rPr>
            <w:t>2</w:t>
          </w:r>
          <w:r w:rsidRPr="00036CF6">
            <w:rPr>
              <w:sz w:val="14"/>
              <w:szCs w:val="14"/>
            </w:rPr>
            <w:fldChar w:fldCharType="end"/>
          </w:r>
        </w:p>
        <w:p w:rsidR="00036CF6" w:rsidRPr="00763EB6" w:rsidRDefault="00036CF6" w:rsidP="00036CF6">
          <w:pPr>
            <w:tabs>
              <w:tab w:val="center" w:pos="4536"/>
              <w:tab w:val="right" w:pos="9072"/>
            </w:tabs>
            <w:spacing w:after="0" w:line="240" w:lineRule="auto"/>
            <w:ind w:left="0"/>
            <w:jc w:val="right"/>
            <w:rPr>
              <w:sz w:val="14"/>
              <w:szCs w:val="14"/>
              <w:lang w:val="es-ES"/>
            </w:rPr>
          </w:pPr>
        </w:p>
        <w:p w:rsidR="00036CF6" w:rsidRPr="00763EB6" w:rsidRDefault="00036CF6" w:rsidP="00036CF6">
          <w:pPr>
            <w:tabs>
              <w:tab w:val="center" w:pos="4536"/>
              <w:tab w:val="right" w:pos="9072"/>
            </w:tabs>
            <w:spacing w:after="0" w:line="240" w:lineRule="auto"/>
            <w:ind w:left="0"/>
            <w:jc w:val="right"/>
            <w:rPr>
              <w:sz w:val="14"/>
              <w:szCs w:val="14"/>
              <w:lang w:val="es-ES"/>
            </w:rPr>
          </w:pPr>
          <w:r w:rsidRPr="00763EB6">
            <w:rPr>
              <w:sz w:val="14"/>
              <w:szCs w:val="14"/>
              <w:lang w:val="es-ES"/>
            </w:rPr>
            <w:t>COD: FS-01-03-ver.</w:t>
          </w:r>
          <w:r w:rsidR="003D5AD7" w:rsidRPr="00763EB6">
            <w:rPr>
              <w:sz w:val="14"/>
              <w:szCs w:val="14"/>
              <w:lang w:val="es-ES"/>
            </w:rPr>
            <w:t>2</w:t>
          </w:r>
        </w:p>
        <w:p w:rsidR="00036CF6" w:rsidRPr="00036CF6" w:rsidRDefault="00036CF6"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763EB6" w:rsidRDefault="00E80D5E" w:rsidP="00E80D5E">
    <w:pPr>
      <w:pStyle w:val="Subsol"/>
      <w:ind w:left="0"/>
      <w:rPr>
        <w:sz w:val="14"/>
        <w:szCs w:val="1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A00B13" w:rsidTr="00036CF6">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7"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DC7BAE" w:rsidP="00036CF6">
          <w:pPr>
            <w:tabs>
              <w:tab w:val="center" w:pos="4320"/>
              <w:tab w:val="right" w:pos="8640"/>
            </w:tabs>
            <w:spacing w:after="0"/>
            <w:ind w:left="0"/>
            <w:rPr>
              <w:sz w:val="14"/>
              <w:szCs w:val="14"/>
            </w:rPr>
          </w:pPr>
          <w:hyperlink r:id="rId2" w:history="1">
            <w:r w:rsidR="00036CF6" w:rsidRPr="00036CF6">
              <w:rPr>
                <w:color w:val="0000FF" w:themeColor="hyperlink"/>
                <w:sz w:val="14"/>
                <w:szCs w:val="14"/>
                <w:u w:val="single"/>
              </w:rPr>
              <w:t>www.just.ro</w:t>
            </w:r>
          </w:hyperlink>
        </w:p>
        <w:p w:rsidR="00036CF6" w:rsidRPr="00036CF6" w:rsidRDefault="00036CF6"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036CF6" w:rsidRPr="00763EB6" w:rsidRDefault="00036CF6" w:rsidP="00036CF6">
          <w:pPr>
            <w:tabs>
              <w:tab w:val="center" w:pos="4536"/>
              <w:tab w:val="right" w:pos="9072"/>
            </w:tabs>
            <w:spacing w:after="0" w:line="240" w:lineRule="auto"/>
            <w:ind w:left="0"/>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AB6A0A">
            <w:rPr>
              <w:noProof/>
              <w:sz w:val="14"/>
              <w:szCs w:val="14"/>
              <w:lang w:val="es-ES"/>
            </w:rPr>
            <w:t>1</w:t>
          </w:r>
          <w:r w:rsidRPr="00036CF6">
            <w:rPr>
              <w:sz w:val="14"/>
              <w:szCs w:val="14"/>
            </w:rPr>
            <w:fldChar w:fldCharType="end"/>
          </w:r>
          <w:r w:rsidRPr="00763EB6">
            <w:rPr>
              <w:sz w:val="14"/>
              <w:szCs w:val="14"/>
              <w:lang w:val="es-ES"/>
            </w:rPr>
            <w:t xml:space="preserve"> </w:t>
          </w:r>
          <w:proofErr w:type="spellStart"/>
          <w:r w:rsidRPr="00763EB6">
            <w:rPr>
              <w:sz w:val="14"/>
              <w:szCs w:val="14"/>
              <w:lang w:val="es-ES"/>
            </w:rPr>
            <w:t>din</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AB6A0A">
            <w:rPr>
              <w:noProof/>
              <w:sz w:val="14"/>
              <w:szCs w:val="14"/>
              <w:lang w:val="es-ES"/>
            </w:rPr>
            <w:t>2</w:t>
          </w:r>
          <w:r w:rsidRPr="00036CF6">
            <w:rPr>
              <w:sz w:val="14"/>
              <w:szCs w:val="14"/>
            </w:rPr>
            <w:fldChar w:fldCharType="end"/>
          </w:r>
        </w:p>
        <w:p w:rsidR="00036CF6" w:rsidRPr="00763EB6" w:rsidRDefault="00036CF6" w:rsidP="00036CF6">
          <w:pPr>
            <w:tabs>
              <w:tab w:val="center" w:pos="4536"/>
              <w:tab w:val="right" w:pos="9072"/>
            </w:tabs>
            <w:spacing w:after="0" w:line="240" w:lineRule="auto"/>
            <w:ind w:left="0"/>
            <w:jc w:val="right"/>
            <w:rPr>
              <w:sz w:val="14"/>
              <w:szCs w:val="14"/>
              <w:lang w:val="es-ES"/>
            </w:rPr>
          </w:pPr>
        </w:p>
        <w:p w:rsidR="00036CF6" w:rsidRPr="00036CF6" w:rsidRDefault="00036CF6" w:rsidP="003D5AD7">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763EB6">
            <w:rPr>
              <w:sz w:val="14"/>
              <w:szCs w:val="14"/>
              <w:lang w:val="es-ES"/>
            </w:rPr>
            <w:t>COD: FS-01-03-ver.</w:t>
          </w:r>
          <w:r w:rsidR="003D5AD7" w:rsidRPr="00763EB6">
            <w:rPr>
              <w:sz w:val="14"/>
              <w:szCs w:val="14"/>
              <w:lang w:val="es-ES"/>
            </w:rPr>
            <w:t>2</w:t>
          </w:r>
        </w:p>
      </w:tc>
    </w:tr>
  </w:tbl>
  <w:p w:rsidR="00E80D5E" w:rsidRPr="00763EB6" w:rsidRDefault="00E80D5E" w:rsidP="00036CF6">
    <w:pPr>
      <w:pStyle w:val="Subsol"/>
      <w:ind w:left="0"/>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AE" w:rsidRDefault="00DC7BAE" w:rsidP="00CD5B3B">
      <w:r>
        <w:separator/>
      </w:r>
    </w:p>
  </w:footnote>
  <w:footnote w:type="continuationSeparator" w:id="0">
    <w:p w:rsidR="00DC7BAE" w:rsidRDefault="00DC7BA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0E" w:rsidRDefault="0094530E" w:rsidP="008A4458">
    <w:pPr>
      <w:pStyle w:val="Antet"/>
      <w:ind w:left="0"/>
    </w:pPr>
  </w:p>
  <w:p w:rsidR="00E80D5E" w:rsidRPr="00CD5B3B" w:rsidRDefault="00E80D5E" w:rsidP="008A4458">
    <w:pPr>
      <w:pStyle w:val="Antet"/>
      <w:ind w:left="0"/>
    </w:pPr>
    <w:r>
      <w:rPr>
        <w:noProof/>
      </w:rPr>
      <w:drawing>
        <wp:inline distT="0" distB="0" distL="0" distR="0" wp14:anchorId="1EEF8F37" wp14:editId="6755F503">
          <wp:extent cx="1959610" cy="201930"/>
          <wp:effectExtent l="0" t="0" r="2540" b="7620"/>
          <wp:docPr id="5"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10915"/>
      <w:gridCol w:w="6"/>
    </w:tblGrid>
    <w:tr w:rsidR="00E80D5E" w:rsidTr="008A4458">
      <w:tc>
        <w:tcPr>
          <w:tcW w:w="6804" w:type="dxa"/>
          <w:shd w:val="clear" w:color="auto" w:fill="auto"/>
        </w:tcPr>
        <w:tbl>
          <w:tblPr>
            <w:tblW w:w="10915" w:type="dxa"/>
            <w:tblCellMar>
              <w:left w:w="0" w:type="dxa"/>
              <w:right w:w="0" w:type="dxa"/>
            </w:tblCellMar>
            <w:tblLook w:val="04A0" w:firstRow="1" w:lastRow="0" w:firstColumn="1" w:lastColumn="0" w:noHBand="0" w:noVBand="1"/>
          </w:tblPr>
          <w:tblGrid>
            <w:gridCol w:w="6804"/>
            <w:gridCol w:w="4111"/>
          </w:tblGrid>
          <w:tr w:rsidR="005D138F" w:rsidTr="006307D2">
            <w:tc>
              <w:tcPr>
                <w:tcW w:w="6804" w:type="dxa"/>
                <w:shd w:val="clear" w:color="auto" w:fill="auto"/>
              </w:tcPr>
              <w:p w:rsidR="005D138F" w:rsidRPr="00CD5B3B" w:rsidRDefault="005D138F" w:rsidP="005D138F">
                <w:pPr>
                  <w:pStyle w:val="MediumGrid21"/>
                </w:pPr>
                <w:r>
                  <w:rPr>
                    <w:noProof/>
                  </w:rPr>
                  <w:drawing>
                    <wp:inline distT="0" distB="0" distL="0" distR="0" wp14:anchorId="54F66951" wp14:editId="0C332291">
                      <wp:extent cx="3028315" cy="902335"/>
                      <wp:effectExtent l="0" t="0" r="635" b="0"/>
                      <wp:docPr id="15"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5D138F" w:rsidRDefault="005D138F" w:rsidP="005D138F">
                <w:pPr>
                  <w:pStyle w:val="MediumGrid21"/>
                  <w:jc w:val="right"/>
                </w:pPr>
              </w:p>
            </w:tc>
          </w:tr>
        </w:tbl>
        <w:p w:rsidR="00E80D5E" w:rsidRPr="00CD5B3B" w:rsidRDefault="00E80D5E" w:rsidP="00C20EF1">
          <w:pPr>
            <w:pStyle w:val="MediumGrid21"/>
          </w:pPr>
        </w:p>
      </w:tc>
      <w:tc>
        <w:tcPr>
          <w:tcW w:w="4111" w:type="dxa"/>
          <w:shd w:val="clear" w:color="auto" w:fill="auto"/>
          <w:vAlign w:val="center"/>
        </w:tcPr>
        <w:p w:rsidR="00E80D5E" w:rsidRDefault="00E80D5E" w:rsidP="00E562FC">
          <w:pPr>
            <w:pStyle w:val="MediumGrid21"/>
            <w:jc w:val="right"/>
          </w:pPr>
        </w:p>
      </w:tc>
    </w:tr>
  </w:tbl>
  <w:p w:rsidR="00E80D5E" w:rsidRDefault="00E80D5E" w:rsidP="002B2D08">
    <w:pPr>
      <w:pStyle w:val="Antet"/>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F72F1"/>
    <w:multiLevelType w:val="hybridMultilevel"/>
    <w:tmpl w:val="E67A52EE"/>
    <w:lvl w:ilvl="0" w:tplc="5038D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D60C91"/>
    <w:multiLevelType w:val="hybridMultilevel"/>
    <w:tmpl w:val="97202172"/>
    <w:lvl w:ilvl="0" w:tplc="7EA4F9CC">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AA1"/>
    <w:rsid w:val="00023330"/>
    <w:rsid w:val="00036CF6"/>
    <w:rsid w:val="0003706E"/>
    <w:rsid w:val="00046574"/>
    <w:rsid w:val="000560F5"/>
    <w:rsid w:val="0006682A"/>
    <w:rsid w:val="000A0693"/>
    <w:rsid w:val="000C1842"/>
    <w:rsid w:val="000D5039"/>
    <w:rsid w:val="00100F36"/>
    <w:rsid w:val="001022F0"/>
    <w:rsid w:val="001157EE"/>
    <w:rsid w:val="001178E8"/>
    <w:rsid w:val="0012496F"/>
    <w:rsid w:val="0013178F"/>
    <w:rsid w:val="001637BD"/>
    <w:rsid w:val="001667D5"/>
    <w:rsid w:val="0019507C"/>
    <w:rsid w:val="001C6EC7"/>
    <w:rsid w:val="001F47F1"/>
    <w:rsid w:val="00232351"/>
    <w:rsid w:val="00270F42"/>
    <w:rsid w:val="00274008"/>
    <w:rsid w:val="00276E3D"/>
    <w:rsid w:val="002A5742"/>
    <w:rsid w:val="002B2D08"/>
    <w:rsid w:val="002E3688"/>
    <w:rsid w:val="002F13CD"/>
    <w:rsid w:val="00300F6F"/>
    <w:rsid w:val="003049B2"/>
    <w:rsid w:val="00321B1A"/>
    <w:rsid w:val="00336015"/>
    <w:rsid w:val="00341736"/>
    <w:rsid w:val="003470E6"/>
    <w:rsid w:val="0036058F"/>
    <w:rsid w:val="00373880"/>
    <w:rsid w:val="003B25AC"/>
    <w:rsid w:val="003B7109"/>
    <w:rsid w:val="003C5396"/>
    <w:rsid w:val="003D0C80"/>
    <w:rsid w:val="003D5AD7"/>
    <w:rsid w:val="003F15EE"/>
    <w:rsid w:val="003F64CF"/>
    <w:rsid w:val="00431000"/>
    <w:rsid w:val="00432B9C"/>
    <w:rsid w:val="00433202"/>
    <w:rsid w:val="00445708"/>
    <w:rsid w:val="00461583"/>
    <w:rsid w:val="0047011B"/>
    <w:rsid w:val="00471410"/>
    <w:rsid w:val="00471FDD"/>
    <w:rsid w:val="00484581"/>
    <w:rsid w:val="00493AD5"/>
    <w:rsid w:val="004B70CB"/>
    <w:rsid w:val="004D0766"/>
    <w:rsid w:val="004F384B"/>
    <w:rsid w:val="0051663F"/>
    <w:rsid w:val="0052787F"/>
    <w:rsid w:val="00593ABF"/>
    <w:rsid w:val="005A03B1"/>
    <w:rsid w:val="005A3ACB"/>
    <w:rsid w:val="005B6FBB"/>
    <w:rsid w:val="005C6380"/>
    <w:rsid w:val="005D138F"/>
    <w:rsid w:val="005D5BCD"/>
    <w:rsid w:val="005E2E7D"/>
    <w:rsid w:val="005E6FFA"/>
    <w:rsid w:val="00604DD4"/>
    <w:rsid w:val="00636AD6"/>
    <w:rsid w:val="00650DAA"/>
    <w:rsid w:val="0065346E"/>
    <w:rsid w:val="006629C8"/>
    <w:rsid w:val="00677E1E"/>
    <w:rsid w:val="00677FEB"/>
    <w:rsid w:val="00686A34"/>
    <w:rsid w:val="006A263E"/>
    <w:rsid w:val="006A3F58"/>
    <w:rsid w:val="006B528B"/>
    <w:rsid w:val="006C3E15"/>
    <w:rsid w:val="006D1AF6"/>
    <w:rsid w:val="006E3FA5"/>
    <w:rsid w:val="006E7CA6"/>
    <w:rsid w:val="00701D72"/>
    <w:rsid w:val="00722BEC"/>
    <w:rsid w:val="00725F2C"/>
    <w:rsid w:val="007340C9"/>
    <w:rsid w:val="0075239F"/>
    <w:rsid w:val="00763EB6"/>
    <w:rsid w:val="00765411"/>
    <w:rsid w:val="00766E0E"/>
    <w:rsid w:val="00771EC0"/>
    <w:rsid w:val="0077343F"/>
    <w:rsid w:val="007778B4"/>
    <w:rsid w:val="007874D7"/>
    <w:rsid w:val="007B4CB1"/>
    <w:rsid w:val="007C205F"/>
    <w:rsid w:val="007C2781"/>
    <w:rsid w:val="007F3464"/>
    <w:rsid w:val="007F6532"/>
    <w:rsid w:val="00802DCC"/>
    <w:rsid w:val="00824BDC"/>
    <w:rsid w:val="00832C7B"/>
    <w:rsid w:val="008418B4"/>
    <w:rsid w:val="00853A4C"/>
    <w:rsid w:val="00871DA8"/>
    <w:rsid w:val="008A2AC0"/>
    <w:rsid w:val="008A4458"/>
    <w:rsid w:val="008B63B2"/>
    <w:rsid w:val="008D36E8"/>
    <w:rsid w:val="008D5674"/>
    <w:rsid w:val="009000C1"/>
    <w:rsid w:val="00906E29"/>
    <w:rsid w:val="00915096"/>
    <w:rsid w:val="009244BE"/>
    <w:rsid w:val="0094530E"/>
    <w:rsid w:val="009640D8"/>
    <w:rsid w:val="009958C4"/>
    <w:rsid w:val="009C62BE"/>
    <w:rsid w:val="009E1B4D"/>
    <w:rsid w:val="009E7609"/>
    <w:rsid w:val="009E773D"/>
    <w:rsid w:val="009F6926"/>
    <w:rsid w:val="00A00B13"/>
    <w:rsid w:val="00A03ED4"/>
    <w:rsid w:val="00A04368"/>
    <w:rsid w:val="00A0497A"/>
    <w:rsid w:val="00A329E5"/>
    <w:rsid w:val="00A51A9D"/>
    <w:rsid w:val="00A62073"/>
    <w:rsid w:val="00A70269"/>
    <w:rsid w:val="00A745DE"/>
    <w:rsid w:val="00A7669D"/>
    <w:rsid w:val="00A8743F"/>
    <w:rsid w:val="00AA1CBD"/>
    <w:rsid w:val="00AB6A0A"/>
    <w:rsid w:val="00AC41A6"/>
    <w:rsid w:val="00AC420C"/>
    <w:rsid w:val="00AE0823"/>
    <w:rsid w:val="00AE26B4"/>
    <w:rsid w:val="00AF0F0C"/>
    <w:rsid w:val="00B00F30"/>
    <w:rsid w:val="00B13BB4"/>
    <w:rsid w:val="00B2414A"/>
    <w:rsid w:val="00B3221F"/>
    <w:rsid w:val="00B50D4F"/>
    <w:rsid w:val="00BA7320"/>
    <w:rsid w:val="00BC3BC5"/>
    <w:rsid w:val="00C05271"/>
    <w:rsid w:val="00C05F49"/>
    <w:rsid w:val="00C062D5"/>
    <w:rsid w:val="00C12B38"/>
    <w:rsid w:val="00C20EF1"/>
    <w:rsid w:val="00C323B7"/>
    <w:rsid w:val="00C62854"/>
    <w:rsid w:val="00C80027"/>
    <w:rsid w:val="00C96E0E"/>
    <w:rsid w:val="00CA524D"/>
    <w:rsid w:val="00CC39D7"/>
    <w:rsid w:val="00CD0C6C"/>
    <w:rsid w:val="00CD0F06"/>
    <w:rsid w:val="00CD160F"/>
    <w:rsid w:val="00CD5B3B"/>
    <w:rsid w:val="00D023D3"/>
    <w:rsid w:val="00D06E9C"/>
    <w:rsid w:val="00D56A5B"/>
    <w:rsid w:val="00D67771"/>
    <w:rsid w:val="00D86F1D"/>
    <w:rsid w:val="00DB36BE"/>
    <w:rsid w:val="00DB6215"/>
    <w:rsid w:val="00DC7BAE"/>
    <w:rsid w:val="00DE50AE"/>
    <w:rsid w:val="00E00435"/>
    <w:rsid w:val="00E15916"/>
    <w:rsid w:val="00E51972"/>
    <w:rsid w:val="00E562FC"/>
    <w:rsid w:val="00E80D5E"/>
    <w:rsid w:val="00E875C8"/>
    <w:rsid w:val="00EA0F6C"/>
    <w:rsid w:val="00EA4AA8"/>
    <w:rsid w:val="00EB2CEE"/>
    <w:rsid w:val="00EE32F2"/>
    <w:rsid w:val="00EE632D"/>
    <w:rsid w:val="00EF0BC3"/>
    <w:rsid w:val="00F27DA3"/>
    <w:rsid w:val="00F33E18"/>
    <w:rsid w:val="00F56471"/>
    <w:rsid w:val="00F67D20"/>
    <w:rsid w:val="00F87FAD"/>
    <w:rsid w:val="00F92DBC"/>
    <w:rsid w:val="00FA621C"/>
    <w:rsid w:val="00FA7C03"/>
    <w:rsid w:val="00FB6D27"/>
    <w:rsid w:val="00FC4284"/>
    <w:rsid w:val="00FD6474"/>
    <w:rsid w:val="00FE2F2C"/>
    <w:rsid w:val="00F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D5"/>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Listparagraf">
    <w:name w:val="List Paragraph"/>
    <w:basedOn w:val="Normal"/>
    <w:uiPriority w:val="34"/>
    <w:qFormat/>
    <w:rsid w:val="00A03ED4"/>
    <w:pPr>
      <w:ind w:left="720"/>
      <w:contextualSpacing/>
    </w:pPr>
  </w:style>
  <w:style w:type="paragraph" w:styleId="Textnotdesubsol">
    <w:name w:val="footnote text"/>
    <w:basedOn w:val="Normal"/>
    <w:link w:val="TextnotdesubsolCaracter"/>
    <w:uiPriority w:val="99"/>
    <w:semiHidden/>
    <w:unhideWhenUsed/>
    <w:rsid w:val="001022F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022F0"/>
    <w:rPr>
      <w:rFonts w:ascii="Trebuchet MS" w:hAnsi="Trebuchet MS"/>
    </w:rPr>
  </w:style>
  <w:style w:type="character" w:styleId="Referinnotdesubsol">
    <w:name w:val="footnote reference"/>
    <w:basedOn w:val="Fontdeparagrafimplicit"/>
    <w:uiPriority w:val="99"/>
    <w:semiHidden/>
    <w:unhideWhenUsed/>
    <w:rsid w:val="001022F0"/>
    <w:rPr>
      <w:vertAlign w:val="superscript"/>
    </w:rPr>
  </w:style>
  <w:style w:type="character" w:styleId="Referincomentariu">
    <w:name w:val="annotation reference"/>
    <w:basedOn w:val="Fontdeparagrafimplicit"/>
    <w:uiPriority w:val="99"/>
    <w:semiHidden/>
    <w:unhideWhenUsed/>
    <w:rsid w:val="00EA4AA8"/>
    <w:rPr>
      <w:sz w:val="16"/>
      <w:szCs w:val="16"/>
    </w:rPr>
  </w:style>
  <w:style w:type="paragraph" w:styleId="Textcomentariu">
    <w:name w:val="annotation text"/>
    <w:basedOn w:val="Normal"/>
    <w:link w:val="TextcomentariuCaracter"/>
    <w:uiPriority w:val="99"/>
    <w:semiHidden/>
    <w:unhideWhenUsed/>
    <w:rsid w:val="00EA4AA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A4AA8"/>
    <w:rPr>
      <w:rFonts w:ascii="Trebuchet MS" w:hAnsi="Trebuchet MS"/>
    </w:rPr>
  </w:style>
  <w:style w:type="paragraph" w:styleId="SubiectComentariu">
    <w:name w:val="annotation subject"/>
    <w:basedOn w:val="Textcomentariu"/>
    <w:next w:val="Textcomentariu"/>
    <w:link w:val="SubiectComentariuCaracter"/>
    <w:uiPriority w:val="99"/>
    <w:semiHidden/>
    <w:unhideWhenUsed/>
    <w:rsid w:val="00EA4AA8"/>
    <w:rPr>
      <w:b/>
      <w:bCs/>
    </w:rPr>
  </w:style>
  <w:style w:type="character" w:customStyle="1" w:styleId="SubiectComentariuCaracter">
    <w:name w:val="Subiect Comentariu Caracter"/>
    <w:basedOn w:val="TextcomentariuCaracter"/>
    <w:link w:val="SubiectComentariu"/>
    <w:uiPriority w:val="99"/>
    <w:semiHidden/>
    <w:rsid w:val="00EA4AA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21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0717-D59F-4FFB-8CFD-13C5EC7F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TotalTime>
  <Pages>2</Pages>
  <Words>734</Words>
  <Characters>4188</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Angelica Bratu</cp:lastModifiedBy>
  <cp:revision>24</cp:revision>
  <cp:lastPrinted>2016-08-19T13:57:00Z</cp:lastPrinted>
  <dcterms:created xsi:type="dcterms:W3CDTF">2016-07-13T10:52:00Z</dcterms:created>
  <dcterms:modified xsi:type="dcterms:W3CDTF">2016-08-22T10:15:00Z</dcterms:modified>
</cp:coreProperties>
</file>