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5" w:type="dxa"/>
        <w:tblBorders>
          <w:top w:val="thinThickThinSmallGap" w:sz="24" w:space="0" w:color="auto"/>
        </w:tblBorders>
        <w:tblLook w:val="04A0" w:firstRow="1" w:lastRow="0" w:firstColumn="1" w:lastColumn="0" w:noHBand="0" w:noVBand="1"/>
      </w:tblPr>
      <w:tblGrid>
        <w:gridCol w:w="9540"/>
      </w:tblGrid>
      <w:tr w:rsidR="00137B9F" w:rsidRPr="00137B9F" w:rsidTr="00D7440C">
        <w:trPr>
          <w:trHeight w:val="100"/>
        </w:trPr>
        <w:tc>
          <w:tcPr>
            <w:tcW w:w="9540" w:type="dxa"/>
            <w:tcBorders>
              <w:top w:val="thinThickThinSmallGap" w:sz="24" w:space="0" w:color="auto"/>
              <w:left w:val="nil"/>
              <w:bottom w:val="nil"/>
              <w:right w:val="nil"/>
            </w:tcBorders>
            <w:hideMark/>
          </w:tcPr>
          <w:p w:rsidR="00137B9F" w:rsidRPr="00137B9F" w:rsidRDefault="00137B9F" w:rsidP="00137B9F">
            <w:pPr>
              <w:keepNext/>
              <w:framePr w:w="9481" w:h="1621" w:hSpace="180" w:wrap="around" w:vAnchor="text" w:hAnchor="page" w:x="1282" w:y="-26"/>
              <w:spacing w:after="0" w:line="500" w:lineRule="exact"/>
              <w:jc w:val="center"/>
              <w:outlineLvl w:val="0"/>
              <w:rPr>
                <w:rFonts w:ascii="Times New Roman" w:eastAsia="Times New Roman" w:hAnsi="Times New Roman" w:cs="Times New Roman"/>
                <w:sz w:val="24"/>
                <w:szCs w:val="24"/>
                <w:lang w:val="ro-RO"/>
              </w:rPr>
            </w:pPr>
            <w:r w:rsidRPr="00137B9F">
              <w:rPr>
                <w:rFonts w:ascii="Gill Sans MT Shadow" w:eastAsia="Times New Roman" w:hAnsi="Gill Sans MT Shadow" w:cs="Arial"/>
                <w:noProof/>
                <w:sz w:val="28"/>
                <w:szCs w:val="20"/>
                <w:lang w:val="ro-RO" w:eastAsia="ro-RO"/>
              </w:rPr>
              <w:drawing>
                <wp:anchor distT="0" distB="0" distL="114300" distR="114300" simplePos="0" relativeHeight="251659264" behindDoc="0" locked="0" layoutInCell="1" allowOverlap="1" wp14:anchorId="6BFCF645" wp14:editId="628092E0">
                  <wp:simplePos x="0" y="0"/>
                  <wp:positionH relativeFrom="column">
                    <wp:posOffset>9525</wp:posOffset>
                  </wp:positionH>
                  <wp:positionV relativeFrom="paragraph">
                    <wp:posOffset>23495</wp:posOffset>
                  </wp:positionV>
                  <wp:extent cx="604520" cy="6731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520" cy="673100"/>
                          </a:xfrm>
                          <a:prstGeom prst="rect">
                            <a:avLst/>
                          </a:prstGeom>
                          <a:noFill/>
                        </pic:spPr>
                      </pic:pic>
                    </a:graphicData>
                  </a:graphic>
                  <wp14:sizeRelH relativeFrom="page">
                    <wp14:pctWidth>0</wp14:pctWidth>
                  </wp14:sizeRelH>
                  <wp14:sizeRelV relativeFrom="page">
                    <wp14:pctHeight>0</wp14:pctHeight>
                  </wp14:sizeRelV>
                </wp:anchor>
              </w:drawing>
            </w:r>
            <w:r w:rsidRPr="00137B9F">
              <w:rPr>
                <w:rFonts w:ascii="Gill Sans MT Shadow" w:eastAsia="Times New Roman" w:hAnsi="Gill Sans MT Shadow" w:cs="Arial"/>
                <w:noProof/>
                <w:sz w:val="28"/>
                <w:szCs w:val="20"/>
                <w:lang w:val="ro-RO" w:eastAsia="ro-RO"/>
              </w:rPr>
              <w:drawing>
                <wp:anchor distT="0" distB="0" distL="114300" distR="114300" simplePos="0" relativeHeight="251660288" behindDoc="0" locked="0" layoutInCell="1" allowOverlap="1" wp14:anchorId="798F8518" wp14:editId="11F1F53D">
                  <wp:simplePos x="0" y="0"/>
                  <wp:positionH relativeFrom="column">
                    <wp:posOffset>5351145</wp:posOffset>
                  </wp:positionH>
                  <wp:positionV relativeFrom="paragraph">
                    <wp:posOffset>61595</wp:posOffset>
                  </wp:positionV>
                  <wp:extent cx="56134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 cy="695325"/>
                          </a:xfrm>
                          <a:prstGeom prst="rect">
                            <a:avLst/>
                          </a:prstGeom>
                          <a:noFill/>
                        </pic:spPr>
                      </pic:pic>
                    </a:graphicData>
                  </a:graphic>
                  <wp14:sizeRelH relativeFrom="page">
                    <wp14:pctWidth>0</wp14:pctWidth>
                  </wp14:sizeRelH>
                  <wp14:sizeRelV relativeFrom="page">
                    <wp14:pctHeight>0</wp14:pctHeight>
                  </wp14:sizeRelV>
                </wp:anchor>
              </w:drawing>
            </w:r>
            <w:r w:rsidRPr="00137B9F">
              <w:rPr>
                <w:rFonts w:ascii="Times New Roman" w:eastAsia="Times New Roman" w:hAnsi="Times New Roman" w:cs="Times New Roman"/>
                <w:sz w:val="24"/>
                <w:szCs w:val="24"/>
                <w:lang w:val="ro-RO"/>
              </w:rPr>
              <w:t>R O M Â N I A</w:t>
            </w:r>
          </w:p>
          <w:p w:rsidR="00137B9F" w:rsidRPr="00137B9F" w:rsidRDefault="00137B9F" w:rsidP="00137B9F">
            <w:pPr>
              <w:keepNext/>
              <w:framePr w:w="9481" w:h="1621" w:hSpace="180" w:wrap="around" w:vAnchor="text" w:hAnchor="page" w:x="1282" w:y="-26"/>
              <w:spacing w:after="0" w:line="500" w:lineRule="exact"/>
              <w:jc w:val="center"/>
              <w:outlineLvl w:val="1"/>
              <w:rPr>
                <w:rFonts w:ascii="Times New Roman" w:eastAsia="Times New Roman" w:hAnsi="Times New Roman" w:cs="Times New Roman"/>
                <w:sz w:val="24"/>
                <w:szCs w:val="24"/>
                <w:lang w:val="ro-RO"/>
              </w:rPr>
            </w:pPr>
            <w:r w:rsidRPr="00137B9F">
              <w:rPr>
                <w:rFonts w:ascii="Times New Roman" w:eastAsia="Times New Roman" w:hAnsi="Times New Roman" w:cs="Times New Roman"/>
                <w:sz w:val="24"/>
                <w:szCs w:val="24"/>
                <w:lang w:val="ro-RO"/>
              </w:rPr>
              <w:t xml:space="preserve"> JUDECĂTORIA SECTORULUI 5 BUCUREŞTI</w:t>
            </w:r>
          </w:p>
        </w:tc>
      </w:tr>
      <w:tr w:rsidR="00137B9F" w:rsidRPr="00137B9F" w:rsidTr="00D7440C">
        <w:trPr>
          <w:trHeight w:val="100"/>
        </w:trPr>
        <w:tc>
          <w:tcPr>
            <w:tcW w:w="9540" w:type="dxa"/>
            <w:tcBorders>
              <w:top w:val="nil"/>
              <w:left w:val="nil"/>
              <w:bottom w:val="nil"/>
              <w:right w:val="nil"/>
            </w:tcBorders>
          </w:tcPr>
          <w:p w:rsidR="00137B9F" w:rsidRPr="00137B9F" w:rsidRDefault="00137B9F" w:rsidP="00137B9F">
            <w:pPr>
              <w:keepNext/>
              <w:framePr w:w="9481" w:h="1621" w:hSpace="180" w:wrap="around" w:vAnchor="text" w:hAnchor="page" w:x="1282" w:y="-26"/>
              <w:spacing w:after="0" w:line="500" w:lineRule="exact"/>
              <w:outlineLvl w:val="0"/>
              <w:rPr>
                <w:rFonts w:ascii="Times New Roman" w:eastAsia="Times New Roman" w:hAnsi="Times New Roman" w:cs="Times New Roman"/>
                <w:noProof/>
                <w:sz w:val="24"/>
                <w:szCs w:val="24"/>
                <w:lang w:val="ro-RO"/>
              </w:rPr>
            </w:pPr>
          </w:p>
        </w:tc>
      </w:tr>
    </w:tbl>
    <w:p w:rsidR="00137B9F" w:rsidRPr="00137B9F" w:rsidRDefault="00137B9F" w:rsidP="00137B9F">
      <w:pPr>
        <w:framePr w:w="9481" w:h="1621" w:hSpace="180" w:wrap="around" w:vAnchor="text" w:hAnchor="page" w:x="1282" w:y="-26"/>
        <w:spacing w:after="0" w:line="240" w:lineRule="auto"/>
        <w:jc w:val="center"/>
        <w:rPr>
          <w:rFonts w:ascii="Times New Roman" w:eastAsia="Arial Unicode MS" w:hAnsi="Times New Roman" w:cs="Times New Roman"/>
          <w:sz w:val="24"/>
          <w:szCs w:val="24"/>
          <w:lang w:val="ro-RO"/>
        </w:rPr>
      </w:pPr>
      <w:r w:rsidRPr="00137B9F">
        <w:rPr>
          <w:rFonts w:ascii="Times New Roman" w:eastAsia="Arial Unicode MS" w:hAnsi="Times New Roman" w:cs="Times New Roman"/>
          <w:sz w:val="24"/>
          <w:szCs w:val="24"/>
          <w:lang w:val="ro-RO"/>
        </w:rPr>
        <w:t>Bucureşti, Splaiul Independenţei nr. 5, sector 4 (Palatul de Justiţie)</w:t>
      </w:r>
    </w:p>
    <w:p w:rsidR="00137B9F" w:rsidRPr="00137B9F" w:rsidRDefault="00137B9F" w:rsidP="00137B9F">
      <w:pPr>
        <w:framePr w:w="9481" w:h="1621" w:hSpace="180" w:wrap="around" w:vAnchor="text" w:hAnchor="page" w:x="1282" w:y="-26"/>
        <w:spacing w:after="0" w:line="240" w:lineRule="auto"/>
        <w:jc w:val="center"/>
        <w:rPr>
          <w:rFonts w:ascii="Times New Roman" w:eastAsia="Arial Unicode MS" w:hAnsi="Times New Roman" w:cs="Times New Roman"/>
          <w:sz w:val="24"/>
          <w:szCs w:val="24"/>
          <w:lang w:val="ro-RO"/>
        </w:rPr>
      </w:pPr>
      <w:r w:rsidRPr="00137B9F">
        <w:rPr>
          <w:rFonts w:ascii="Times New Roman" w:eastAsia="Arial Unicode MS" w:hAnsi="Times New Roman" w:cs="Times New Roman"/>
          <w:sz w:val="24"/>
          <w:szCs w:val="24"/>
          <w:lang w:val="ro-RO"/>
        </w:rPr>
        <w:t xml:space="preserve">Tel. 021.319.51.80, 021.319.51.81, 021.319.51.83 Fax. 0372125389 </w:t>
      </w:r>
    </w:p>
    <w:p w:rsidR="00137B9F" w:rsidRPr="00137B9F" w:rsidRDefault="007D0C75" w:rsidP="00137B9F">
      <w:pPr>
        <w:framePr w:w="9481" w:h="1621" w:hSpace="180" w:wrap="around" w:vAnchor="text" w:hAnchor="page" w:x="1282" w:y="-26"/>
        <w:spacing w:after="0" w:line="240" w:lineRule="auto"/>
        <w:jc w:val="center"/>
        <w:rPr>
          <w:rFonts w:ascii="Times New Roman" w:eastAsia="Arial Unicode MS" w:hAnsi="Times New Roman" w:cs="Times New Roman"/>
          <w:sz w:val="24"/>
          <w:szCs w:val="24"/>
          <w:lang w:val="ro-RO"/>
        </w:rPr>
      </w:pPr>
      <w:hyperlink r:id="rId9" w:history="1">
        <w:r w:rsidR="00137B9F" w:rsidRPr="00137B9F">
          <w:rPr>
            <w:rFonts w:ascii="Times New Roman" w:eastAsia="Arial Unicode MS" w:hAnsi="Times New Roman" w:cs="Times New Roman"/>
            <w:color w:val="0000FF"/>
            <w:sz w:val="24"/>
            <w:szCs w:val="24"/>
            <w:u w:val="single"/>
          </w:rPr>
          <w:t>http://www.portal.just.ro</w:t>
        </w:r>
      </w:hyperlink>
      <w:r w:rsidR="00137B9F" w:rsidRPr="00137B9F">
        <w:rPr>
          <w:rFonts w:ascii="Times New Roman" w:eastAsia="Arial Unicode MS" w:hAnsi="Times New Roman" w:cs="Times New Roman"/>
          <w:sz w:val="24"/>
          <w:szCs w:val="24"/>
          <w:lang w:val="ro-RO"/>
        </w:rPr>
        <w:t xml:space="preserve"> , e-mail: jud-sector5@</w:t>
      </w:r>
      <w:proofErr w:type="spellStart"/>
      <w:r w:rsidR="00137B9F" w:rsidRPr="00137B9F">
        <w:rPr>
          <w:rFonts w:ascii="Times New Roman" w:eastAsia="Arial Unicode MS" w:hAnsi="Times New Roman" w:cs="Times New Roman"/>
          <w:sz w:val="24"/>
          <w:szCs w:val="24"/>
          <w:lang w:val="ro-RO"/>
        </w:rPr>
        <w:t>just.ro</w:t>
      </w:r>
      <w:proofErr w:type="spellEnd"/>
      <w:r w:rsidR="00137B9F" w:rsidRPr="00137B9F">
        <w:rPr>
          <w:rFonts w:ascii="Times New Roman" w:eastAsia="Arial Unicode MS" w:hAnsi="Times New Roman" w:cs="Times New Roman"/>
          <w:sz w:val="24"/>
          <w:szCs w:val="24"/>
          <w:lang w:val="ro-RO"/>
        </w:rPr>
        <w:t xml:space="preserve"> </w:t>
      </w:r>
    </w:p>
    <w:p w:rsidR="00137B9F" w:rsidRPr="00137B9F" w:rsidRDefault="00137B9F" w:rsidP="00137B9F">
      <w:pPr>
        <w:framePr w:w="9481" w:h="1621" w:hSpace="180" w:wrap="around" w:vAnchor="text" w:hAnchor="page" w:x="1282" w:y="-26"/>
        <w:spacing w:after="0" w:line="240" w:lineRule="auto"/>
        <w:jc w:val="center"/>
        <w:rPr>
          <w:rFonts w:ascii="Times New Roman" w:eastAsia="Arial Unicode MS" w:hAnsi="Times New Roman" w:cs="Times New Roman"/>
          <w:sz w:val="24"/>
          <w:szCs w:val="24"/>
          <w:lang w:val="ro-RO"/>
        </w:rPr>
      </w:pPr>
      <w:r w:rsidRPr="00137B9F">
        <w:rPr>
          <w:rFonts w:ascii="Times New Roman" w:eastAsia="Arial Unicode MS" w:hAnsi="Times New Roman" w:cs="Times New Roman"/>
          <w:sz w:val="24"/>
          <w:szCs w:val="24"/>
          <w:lang w:val="ro-RO"/>
        </w:rPr>
        <w:t xml:space="preserve">Operator de date cu caracter personal </w:t>
      </w:r>
      <w:proofErr w:type="spellStart"/>
      <w:r w:rsidRPr="00137B9F">
        <w:rPr>
          <w:rFonts w:ascii="Times New Roman" w:eastAsia="Arial Unicode MS" w:hAnsi="Times New Roman" w:cs="Times New Roman"/>
          <w:sz w:val="24"/>
          <w:szCs w:val="24"/>
          <w:lang w:val="ro-RO"/>
        </w:rPr>
        <w:t>înreg</w:t>
      </w:r>
      <w:proofErr w:type="spellEnd"/>
      <w:r w:rsidRPr="00137B9F">
        <w:rPr>
          <w:rFonts w:ascii="Times New Roman" w:eastAsia="Arial Unicode MS" w:hAnsi="Times New Roman" w:cs="Times New Roman"/>
          <w:sz w:val="24"/>
          <w:szCs w:val="24"/>
          <w:lang w:val="ro-RO"/>
        </w:rPr>
        <w:t xml:space="preserve">. sub nr. 2891 </w:t>
      </w:r>
    </w:p>
    <w:tbl>
      <w:tblPr>
        <w:tblW w:w="9540" w:type="dxa"/>
        <w:tblInd w:w="204" w:type="dxa"/>
        <w:tblBorders>
          <w:top w:val="thickThinSmallGap" w:sz="24" w:space="0" w:color="auto"/>
        </w:tblBorders>
        <w:tblLook w:val="04A0" w:firstRow="1" w:lastRow="0" w:firstColumn="1" w:lastColumn="0" w:noHBand="0" w:noVBand="1"/>
      </w:tblPr>
      <w:tblGrid>
        <w:gridCol w:w="9540"/>
      </w:tblGrid>
      <w:tr w:rsidR="00137B9F" w:rsidRPr="00137B9F" w:rsidTr="00D7440C">
        <w:trPr>
          <w:trHeight w:val="100"/>
        </w:trPr>
        <w:tc>
          <w:tcPr>
            <w:tcW w:w="9540" w:type="dxa"/>
            <w:tcBorders>
              <w:top w:val="thickThinSmallGap" w:sz="24" w:space="0" w:color="auto"/>
              <w:left w:val="nil"/>
              <w:bottom w:val="nil"/>
              <w:right w:val="nil"/>
            </w:tcBorders>
          </w:tcPr>
          <w:p w:rsidR="00137B9F" w:rsidRPr="00137B9F" w:rsidRDefault="00137B9F" w:rsidP="00137B9F">
            <w:pPr>
              <w:framePr w:w="9481" w:h="1621" w:hSpace="180" w:wrap="around" w:vAnchor="text" w:hAnchor="page" w:x="1282" w:y="-26"/>
              <w:spacing w:after="0" w:line="276" w:lineRule="auto"/>
              <w:jc w:val="center"/>
              <w:rPr>
                <w:rFonts w:ascii="Times New Roman" w:eastAsia="Arial Unicode MS" w:hAnsi="Times New Roman" w:cs="Times New Roman"/>
                <w:sz w:val="24"/>
                <w:szCs w:val="24"/>
                <w:lang w:val="ro-RO"/>
              </w:rPr>
            </w:pPr>
          </w:p>
        </w:tc>
      </w:tr>
    </w:tbl>
    <w:p w:rsidR="00137B9F" w:rsidRDefault="00137B9F" w:rsidP="00137B9F">
      <w:pPr>
        <w:spacing w:before="100" w:beforeAutospacing="1" w:after="100" w:afterAutospacing="1" w:line="240" w:lineRule="auto"/>
        <w:jc w:val="center"/>
        <w:rPr>
          <w:rFonts w:ascii="Times New Roman" w:eastAsia="Times New Roman" w:hAnsi="Times New Roman" w:cs="Times New Roman"/>
          <w:b/>
          <w:sz w:val="24"/>
          <w:szCs w:val="24"/>
          <w:lang w:val="ro-RO"/>
        </w:rPr>
      </w:pPr>
      <w:r w:rsidRPr="00137B9F">
        <w:rPr>
          <w:rFonts w:ascii="Times New Roman" w:eastAsia="Times New Roman" w:hAnsi="Times New Roman" w:cs="Times New Roman"/>
          <w:b/>
          <w:color w:val="000000"/>
          <w:sz w:val="24"/>
          <w:szCs w:val="24"/>
          <w:lang w:val="ro-RO"/>
        </w:rPr>
        <w:t>Comunicat de pres</w:t>
      </w:r>
      <w:r w:rsidRPr="00137B9F">
        <w:rPr>
          <w:rFonts w:ascii="Times New Roman" w:eastAsia="Times New Roman" w:hAnsi="Times New Roman" w:cs="Times New Roman"/>
          <w:b/>
          <w:sz w:val="24"/>
          <w:szCs w:val="24"/>
          <w:lang w:val="ro-RO"/>
        </w:rPr>
        <w:t xml:space="preserve">ă </w:t>
      </w:r>
    </w:p>
    <w:p w:rsidR="00137B9F" w:rsidRPr="00137B9F" w:rsidRDefault="00137B9F" w:rsidP="00137B9F">
      <w:pPr>
        <w:spacing w:before="100" w:beforeAutospacing="1" w:after="100" w:afterAutospacing="1" w:line="240" w:lineRule="auto"/>
        <w:jc w:val="center"/>
        <w:rPr>
          <w:rFonts w:ascii="Times New Roman" w:eastAsia="Times New Roman" w:hAnsi="Times New Roman" w:cs="Times New Roman"/>
          <w:sz w:val="24"/>
          <w:szCs w:val="24"/>
          <w:lang w:val="ro-RO"/>
        </w:rPr>
      </w:pPr>
      <w:r w:rsidRPr="00137B9F">
        <w:rPr>
          <w:rFonts w:ascii="Times New Roman" w:eastAsia="Times New Roman" w:hAnsi="Times New Roman" w:cs="Times New Roman"/>
          <w:b/>
          <w:bCs/>
          <w:sz w:val="24"/>
          <w:szCs w:val="24"/>
          <w:lang w:val="ro-RO"/>
        </w:rPr>
        <w:t xml:space="preserve">privind </w:t>
      </w:r>
      <w:r>
        <w:rPr>
          <w:rFonts w:ascii="Times New Roman" w:eastAsia="Times New Roman" w:hAnsi="Times New Roman" w:cs="Times New Roman"/>
          <w:b/>
          <w:bCs/>
          <w:sz w:val="24"/>
          <w:szCs w:val="24"/>
          <w:lang w:val="ro-RO"/>
        </w:rPr>
        <w:t>acţiunile întreprinse ca urmare a intrării în vigoare a OUG nr. 20/2016</w:t>
      </w:r>
    </w:p>
    <w:p w:rsidR="00137B9F" w:rsidRPr="00137B9F" w:rsidRDefault="00137B9F" w:rsidP="00D809B5">
      <w:pPr>
        <w:spacing w:before="100" w:beforeAutospacing="1" w:after="100" w:afterAutospacing="1" w:line="240" w:lineRule="auto"/>
        <w:rPr>
          <w:rFonts w:ascii="Times New Roman" w:eastAsia="Times New Roman" w:hAnsi="Times New Roman" w:cs="Times New Roman"/>
          <w:sz w:val="24"/>
          <w:szCs w:val="24"/>
          <w:lang w:val="ro-RO"/>
        </w:rPr>
      </w:pPr>
    </w:p>
    <w:p w:rsidR="00957D1B" w:rsidRDefault="00957D1B" w:rsidP="00957D1B">
      <w:pPr>
        <w:spacing w:after="0" w:line="360" w:lineRule="auto"/>
        <w:ind w:firstLine="706"/>
        <w:jc w:val="both"/>
        <w:rPr>
          <w:rFonts w:ascii="Times New Roman" w:eastAsia="Arial Unicode MS" w:hAnsi="Times New Roman" w:cs="Times New Roman"/>
          <w:sz w:val="24"/>
          <w:szCs w:val="24"/>
          <w:lang w:val="ro-RO"/>
        </w:rPr>
      </w:pPr>
      <w:r>
        <w:rPr>
          <w:rFonts w:ascii="Times New Roman" w:eastAsia="Arial Unicode MS" w:hAnsi="Times New Roman" w:cs="Times New Roman"/>
          <w:sz w:val="24"/>
          <w:szCs w:val="24"/>
          <w:lang w:val="ro-RO"/>
        </w:rPr>
        <w:t xml:space="preserve">Având în vedere dezbaterile generate în spaţiul public de intrarea în vigoare a </w:t>
      </w:r>
      <w:r w:rsidRPr="00957D1B">
        <w:rPr>
          <w:rFonts w:ascii="Times New Roman" w:eastAsia="Arial Unicode MS" w:hAnsi="Times New Roman" w:cs="Times New Roman"/>
          <w:sz w:val="24"/>
          <w:szCs w:val="24"/>
          <w:lang w:val="ro-RO"/>
        </w:rPr>
        <w:t>OUG nr. 20/2016</w:t>
      </w:r>
      <w:r>
        <w:rPr>
          <w:rFonts w:ascii="Times New Roman" w:eastAsia="Arial Unicode MS" w:hAnsi="Times New Roman" w:cs="Times New Roman"/>
          <w:sz w:val="24"/>
          <w:szCs w:val="24"/>
          <w:lang w:val="ro-RO"/>
        </w:rPr>
        <w:t xml:space="preserve">, </w:t>
      </w:r>
      <w:r w:rsidR="00A64052" w:rsidRPr="00A64052">
        <w:rPr>
          <w:rFonts w:ascii="Times New Roman" w:eastAsia="Arial Unicode MS" w:hAnsi="Times New Roman" w:cs="Times New Roman"/>
          <w:b/>
          <w:sz w:val="24"/>
          <w:szCs w:val="24"/>
          <w:lang w:val="ro-RO"/>
        </w:rPr>
        <w:t>în vederea corectei aplicări a legii</w:t>
      </w:r>
      <w:r w:rsidR="00A64052">
        <w:rPr>
          <w:rFonts w:ascii="Times New Roman" w:eastAsia="Arial Unicode MS" w:hAnsi="Times New Roman" w:cs="Times New Roman"/>
          <w:sz w:val="24"/>
          <w:szCs w:val="24"/>
          <w:lang w:val="ro-RO"/>
        </w:rPr>
        <w:t xml:space="preserve">, </w:t>
      </w:r>
      <w:r w:rsidRPr="00957D1B">
        <w:rPr>
          <w:rFonts w:ascii="Times New Roman" w:eastAsia="Arial Unicode MS" w:hAnsi="Times New Roman" w:cs="Times New Roman"/>
          <w:b/>
          <w:sz w:val="24"/>
          <w:szCs w:val="24"/>
          <w:lang w:val="ro-RO"/>
        </w:rPr>
        <w:t>faţă de lipsa unor lămuriri oficiale din partea ordonatorilor principali de credite</w:t>
      </w:r>
      <w:r>
        <w:rPr>
          <w:rFonts w:ascii="Times New Roman" w:eastAsia="Arial Unicode MS" w:hAnsi="Times New Roman" w:cs="Times New Roman"/>
          <w:sz w:val="24"/>
          <w:szCs w:val="24"/>
          <w:lang w:val="ro-RO"/>
        </w:rPr>
        <w:t xml:space="preserve"> şi ţinând cont de faptul că în cadrul dezbaterilor generate de acest act normativ s-a învederat că:</w:t>
      </w:r>
    </w:p>
    <w:p w:rsidR="00957D1B" w:rsidRDefault="00957D1B" w:rsidP="00957D1B">
      <w:pPr>
        <w:spacing w:after="0" w:line="360" w:lineRule="auto"/>
        <w:ind w:firstLine="706"/>
        <w:jc w:val="both"/>
        <w:rPr>
          <w:rFonts w:ascii="Times New Roman" w:eastAsia="Arial Unicode MS" w:hAnsi="Times New Roman" w:cs="Times New Roman"/>
          <w:sz w:val="24"/>
          <w:szCs w:val="24"/>
          <w:lang w:val="ro-RO"/>
        </w:rPr>
      </w:pPr>
    </w:p>
    <w:p w:rsidR="00957D1B" w:rsidRDefault="00957D1B" w:rsidP="00957D1B">
      <w:pPr>
        <w:spacing w:after="0" w:line="360" w:lineRule="auto"/>
        <w:ind w:firstLine="706"/>
        <w:jc w:val="both"/>
        <w:rPr>
          <w:rFonts w:ascii="Times New Roman" w:eastAsia="Arial Unicode MS" w:hAnsi="Times New Roman" w:cs="Times New Roman"/>
          <w:sz w:val="24"/>
          <w:szCs w:val="24"/>
          <w:lang w:val="ro-RO"/>
        </w:rPr>
      </w:pPr>
      <w:r>
        <w:rPr>
          <w:rFonts w:ascii="Times New Roman" w:eastAsia="Arial Unicode MS" w:hAnsi="Times New Roman" w:cs="Times New Roman"/>
          <w:sz w:val="24"/>
          <w:szCs w:val="24"/>
          <w:lang w:val="ro-RO"/>
        </w:rPr>
        <w:t>1. Prevederile OUG nr. 20/2016 nu au fost respectate de Ministrul Justiţiei în cazul judecătorilor care activează la instanţele judecătoreşti, deoarece la stabilirea noilor indemnizaţii de încadrare ale judecătorilor nu s-a ţinut cont în mod real de nivelul maxim al indemnizaţiei de încadrare din cadrul autorităţii judecătoreşti, în raport de fiecare funcţie, grad, gradaţie sau vechime;</w:t>
      </w:r>
    </w:p>
    <w:p w:rsidR="00957D1B" w:rsidRDefault="00957D1B" w:rsidP="00957D1B">
      <w:pPr>
        <w:spacing w:after="0" w:line="360" w:lineRule="auto"/>
        <w:ind w:firstLine="706"/>
        <w:jc w:val="both"/>
        <w:rPr>
          <w:rFonts w:ascii="Times New Roman" w:eastAsia="Arial Unicode MS" w:hAnsi="Times New Roman" w:cs="Times New Roman"/>
          <w:sz w:val="24"/>
          <w:szCs w:val="24"/>
          <w:lang w:val="ro-RO"/>
        </w:rPr>
      </w:pPr>
      <w:r>
        <w:rPr>
          <w:rFonts w:ascii="Times New Roman" w:eastAsia="Arial Unicode MS" w:hAnsi="Times New Roman" w:cs="Times New Roman"/>
          <w:sz w:val="24"/>
          <w:szCs w:val="24"/>
          <w:lang w:val="ro-RO"/>
        </w:rPr>
        <w:t>2. În sistemul judiciar există judecători care au incluse în indemnizaţia de încadrare majorările</w:t>
      </w:r>
      <w:r>
        <w:rPr>
          <w:rFonts w:ascii="Times New Roman" w:eastAsia="Arial Unicode MS" w:hAnsi="Times New Roman" w:cs="Times New Roman"/>
          <w:color w:val="FF0000"/>
          <w:sz w:val="24"/>
          <w:szCs w:val="24"/>
          <w:lang w:val="ro-RO"/>
        </w:rPr>
        <w:t xml:space="preserve"> </w:t>
      </w:r>
      <w:r>
        <w:rPr>
          <w:rFonts w:ascii="Times New Roman" w:eastAsia="Arial Unicode MS" w:hAnsi="Times New Roman" w:cs="Times New Roman"/>
          <w:sz w:val="24"/>
          <w:szCs w:val="24"/>
          <w:lang w:val="ro-RO"/>
        </w:rPr>
        <w:t>de 5%, 2% şi 11% prevăzute de OG nr. 10/2007, iar noile indemnizaţii ale judecătorilor care nu au beneficiat de majorările respective nu le cuprind şi pe acestea, în contradicţie flagrantă cu dispoziţiile OUG nr. 20/2016;</w:t>
      </w:r>
    </w:p>
    <w:p w:rsidR="00957D1B" w:rsidRDefault="00957D1B" w:rsidP="00957D1B">
      <w:pPr>
        <w:spacing w:after="0" w:line="360" w:lineRule="auto"/>
        <w:ind w:firstLine="706"/>
        <w:jc w:val="both"/>
        <w:rPr>
          <w:rFonts w:ascii="Times New Roman" w:eastAsia="Arial Unicode MS" w:hAnsi="Times New Roman" w:cs="Times New Roman"/>
          <w:sz w:val="24"/>
          <w:szCs w:val="24"/>
          <w:lang w:val="ro-RO"/>
        </w:rPr>
      </w:pPr>
      <w:r>
        <w:rPr>
          <w:rFonts w:ascii="Times New Roman" w:eastAsia="Arial Unicode MS" w:hAnsi="Times New Roman" w:cs="Times New Roman"/>
          <w:sz w:val="24"/>
          <w:szCs w:val="24"/>
          <w:lang w:val="ro-RO"/>
        </w:rPr>
        <w:t xml:space="preserve">3. Procurorul General al Parchetului de pe lângă Înalta Curte de Casaţie şi Justiţie a emis un ordin pentru stabilirea noilor indemnizaţii de încadrare ale procurorilor, cu luarea în considerare a majorărilor prevăzute de OG nr. 10/2007, iar ulterior a suspendat aplicarea ordinului respectiv ori a dispus revocarea sa, un număr semnificativ de procurori făcând trimitere </w:t>
      </w:r>
      <w:r>
        <w:rPr>
          <w:rFonts w:ascii="Times New Roman" w:eastAsia="Arial Unicode MS" w:hAnsi="Times New Roman" w:cs="Times New Roman"/>
          <w:sz w:val="24"/>
          <w:szCs w:val="24"/>
          <w:lang w:val="ro-RO"/>
        </w:rPr>
        <w:lastRenderedPageBreak/>
        <w:t>la exercitarea unor presiuni asupra Procurorului General pentru a nu li se acorda procurorilor drepturile conferite chiar de OUG nr. 20/2016</w:t>
      </w:r>
      <w:r>
        <w:rPr>
          <w:rStyle w:val="Referinnotdesubsol"/>
          <w:rFonts w:ascii="Times New Roman" w:eastAsia="Arial Unicode MS" w:hAnsi="Times New Roman" w:cs="Times New Roman"/>
          <w:sz w:val="24"/>
          <w:szCs w:val="24"/>
          <w:lang w:val="ro-RO"/>
        </w:rPr>
        <w:footnoteReference w:id="1"/>
      </w:r>
      <w:r>
        <w:rPr>
          <w:rFonts w:ascii="Times New Roman" w:eastAsia="Arial Unicode MS" w:hAnsi="Times New Roman" w:cs="Times New Roman"/>
          <w:sz w:val="24"/>
          <w:szCs w:val="24"/>
          <w:lang w:val="ro-RO"/>
        </w:rPr>
        <w:t>,</w:t>
      </w:r>
    </w:p>
    <w:p w:rsidR="00957D1B" w:rsidRDefault="00957D1B" w:rsidP="00957D1B">
      <w:pPr>
        <w:spacing w:after="0" w:line="360" w:lineRule="auto"/>
        <w:ind w:firstLine="706"/>
        <w:jc w:val="both"/>
        <w:rPr>
          <w:rFonts w:ascii="Times New Roman" w:eastAsia="Arial Unicode MS" w:hAnsi="Times New Roman" w:cs="Times New Roman"/>
          <w:sz w:val="24"/>
          <w:szCs w:val="24"/>
          <w:lang w:val="ro-RO"/>
        </w:rPr>
      </w:pPr>
    </w:p>
    <w:p w:rsidR="00957D1B" w:rsidRDefault="007D0C75" w:rsidP="00957D1B">
      <w:pPr>
        <w:spacing w:after="0" w:line="360" w:lineRule="auto"/>
        <w:ind w:firstLine="706"/>
        <w:jc w:val="both"/>
        <w:rPr>
          <w:rFonts w:ascii="Times New Roman" w:eastAsia="Arial Unicode MS" w:hAnsi="Times New Roman" w:cs="Times New Roman"/>
          <w:sz w:val="24"/>
          <w:szCs w:val="24"/>
          <w:lang w:val="ro-RO"/>
        </w:rPr>
      </w:pPr>
      <w:r>
        <w:rPr>
          <w:rFonts w:ascii="Times New Roman" w:eastAsia="Arial Unicode MS" w:hAnsi="Times New Roman" w:cs="Times New Roman"/>
          <w:b/>
          <w:sz w:val="24"/>
          <w:szCs w:val="24"/>
          <w:lang w:val="ro-RO"/>
        </w:rPr>
        <w:t xml:space="preserve">Judecătoria Sectorului 5 Bucureşti, prin </w:t>
      </w:r>
      <w:r w:rsidR="00A64052" w:rsidRPr="00A64052">
        <w:rPr>
          <w:rFonts w:ascii="Times New Roman" w:eastAsia="Arial Unicode MS" w:hAnsi="Times New Roman" w:cs="Times New Roman"/>
          <w:b/>
          <w:sz w:val="24"/>
          <w:szCs w:val="24"/>
          <w:lang w:val="ro-RO"/>
        </w:rPr>
        <w:t>Preşedinte</w:t>
      </w:r>
      <w:r>
        <w:rPr>
          <w:rFonts w:ascii="Times New Roman" w:eastAsia="Arial Unicode MS" w:hAnsi="Times New Roman" w:cs="Times New Roman"/>
          <w:b/>
          <w:sz w:val="24"/>
          <w:szCs w:val="24"/>
          <w:lang w:val="ro-RO"/>
        </w:rPr>
        <w:t xml:space="preserve">, judecător Mihnea Tănase, </w:t>
      </w:r>
      <w:r>
        <w:rPr>
          <w:rFonts w:ascii="Times New Roman" w:eastAsia="Arial Unicode MS" w:hAnsi="Times New Roman" w:cs="Times New Roman"/>
          <w:sz w:val="24"/>
          <w:szCs w:val="24"/>
          <w:lang w:val="ro-RO"/>
        </w:rPr>
        <w:t xml:space="preserve">după consultarea judecătorilor instanţei, </w:t>
      </w:r>
      <w:bookmarkStart w:id="0" w:name="_GoBack"/>
      <w:bookmarkEnd w:id="0"/>
      <w:r w:rsidR="00A64052">
        <w:rPr>
          <w:rFonts w:ascii="Times New Roman" w:eastAsia="Arial Unicode MS" w:hAnsi="Times New Roman" w:cs="Times New Roman"/>
          <w:sz w:val="24"/>
          <w:szCs w:val="24"/>
          <w:lang w:val="ro-RO"/>
        </w:rPr>
        <w:t xml:space="preserve">a adresat Ministerului Justiţiei, Consiliului Superior al Magistraturii, Inspecţiei Judiciare, Înaltei Curţi de Casaţie şi Justiţie şi Parchetului de pe lângă Înalta Curte de Casaţie şi Justiţie câte o </w:t>
      </w:r>
      <w:r w:rsidR="00A64052" w:rsidRPr="00A64052">
        <w:rPr>
          <w:rFonts w:ascii="Times New Roman" w:eastAsia="Arial Unicode MS" w:hAnsi="Times New Roman" w:cs="Times New Roman"/>
          <w:b/>
          <w:sz w:val="24"/>
          <w:szCs w:val="24"/>
          <w:lang w:val="ro-RO"/>
        </w:rPr>
        <w:t>cerere de furnizare de informaţii de interes public</w:t>
      </w:r>
      <w:r w:rsidR="00A64052">
        <w:rPr>
          <w:rFonts w:ascii="Times New Roman" w:eastAsia="Arial Unicode MS" w:hAnsi="Times New Roman" w:cs="Times New Roman"/>
          <w:sz w:val="24"/>
          <w:szCs w:val="24"/>
          <w:lang w:val="ro-RO"/>
        </w:rPr>
        <w:t>, întemeiată pe dispoziţiile</w:t>
      </w:r>
      <w:r w:rsidR="00957D1B">
        <w:rPr>
          <w:rFonts w:ascii="Times New Roman" w:eastAsia="Arial Unicode MS" w:hAnsi="Times New Roman" w:cs="Times New Roman"/>
          <w:sz w:val="24"/>
          <w:szCs w:val="24"/>
          <w:lang w:val="ro-RO"/>
        </w:rPr>
        <w:t xml:space="preserve"> art. 6 alin. (1) din Legea nr. 544/2001</w:t>
      </w:r>
      <w:r w:rsidR="00A64052">
        <w:rPr>
          <w:rFonts w:ascii="Times New Roman" w:eastAsia="Arial Unicode MS" w:hAnsi="Times New Roman" w:cs="Times New Roman"/>
          <w:sz w:val="24"/>
          <w:szCs w:val="24"/>
          <w:lang w:val="ro-RO"/>
        </w:rPr>
        <w:t>, având ca obiect</w:t>
      </w:r>
      <w:r w:rsidR="00957D1B">
        <w:rPr>
          <w:rFonts w:ascii="Times New Roman" w:eastAsia="Arial Unicode MS" w:hAnsi="Times New Roman" w:cs="Times New Roman"/>
          <w:sz w:val="24"/>
          <w:szCs w:val="24"/>
          <w:lang w:val="ro-RO"/>
        </w:rPr>
        <w:t>:</w:t>
      </w:r>
    </w:p>
    <w:p w:rsidR="00957D1B" w:rsidRDefault="00957D1B" w:rsidP="00957D1B">
      <w:pPr>
        <w:spacing w:after="0" w:line="360" w:lineRule="auto"/>
        <w:ind w:firstLine="706"/>
        <w:jc w:val="both"/>
        <w:rPr>
          <w:rFonts w:ascii="Times New Roman" w:eastAsia="Arial Unicode MS" w:hAnsi="Times New Roman" w:cs="Times New Roman"/>
          <w:sz w:val="24"/>
          <w:szCs w:val="24"/>
          <w:lang w:val="ro-RO"/>
        </w:rPr>
      </w:pPr>
    </w:p>
    <w:p w:rsidR="00595D49" w:rsidRDefault="00595D49" w:rsidP="00595D49">
      <w:pPr>
        <w:spacing w:after="0" w:line="360" w:lineRule="auto"/>
        <w:ind w:firstLine="706"/>
        <w:jc w:val="both"/>
        <w:rPr>
          <w:rFonts w:ascii="Times New Roman" w:eastAsia="Arial Unicode MS" w:hAnsi="Times New Roman" w:cs="Times New Roman"/>
          <w:sz w:val="24"/>
          <w:szCs w:val="24"/>
          <w:lang w:val="ro-RO"/>
        </w:rPr>
      </w:pPr>
      <w:r>
        <w:rPr>
          <w:rFonts w:ascii="Times New Roman" w:eastAsia="Arial Unicode MS" w:hAnsi="Times New Roman" w:cs="Times New Roman"/>
          <w:sz w:val="24"/>
          <w:szCs w:val="24"/>
          <w:lang w:val="ro-RO"/>
        </w:rPr>
        <w:t>1. Dacă există vreun judecător sau procuror ori personal asimilat magistraţilor în a cărui indemnizaţie de încadrare sunt incluse majorările de 5%, 2% şi 11% prevăzute de OG nr. 10/2007 şi care este temeiul includerii respective (existenţa unei hotărâri judecătoreşti definitive care obligă ordonatorul de credite ori alt temei);</w:t>
      </w:r>
    </w:p>
    <w:p w:rsidR="00595D49" w:rsidRDefault="00595D49" w:rsidP="00595D49">
      <w:pPr>
        <w:spacing w:after="0" w:line="360" w:lineRule="auto"/>
        <w:ind w:firstLine="706"/>
        <w:jc w:val="both"/>
        <w:rPr>
          <w:rFonts w:ascii="Times New Roman" w:eastAsia="Arial Unicode MS" w:hAnsi="Times New Roman" w:cs="Times New Roman"/>
          <w:sz w:val="24"/>
          <w:szCs w:val="24"/>
          <w:lang w:val="ro-RO"/>
        </w:rPr>
      </w:pPr>
      <w:r>
        <w:rPr>
          <w:rFonts w:ascii="Times New Roman" w:eastAsia="Arial Unicode MS" w:hAnsi="Times New Roman" w:cs="Times New Roman"/>
          <w:sz w:val="24"/>
          <w:szCs w:val="24"/>
          <w:lang w:val="ro-RO"/>
        </w:rPr>
        <w:t>2. Dacă la stabilirea noilor indemnizaţii de încadrare ale judecătorilor şi procurorilor, aferente lunii august 2016, s-a ţinut cont în mod real de nivelul maxim al indemnizaţiei de încadrare din cadrul autorităţii judecătoreşti, în raport de fiecare funcţie, grad, gradaţie sau vechime, ori dacă indemnizaţiile anumitor judecători sau procurori nu au fost avute în vedere şi care este motivul pentru care s-a procedat în acest sens;</w:t>
      </w:r>
    </w:p>
    <w:p w:rsidR="00595D49" w:rsidRPr="00595D49" w:rsidRDefault="00595D49" w:rsidP="00595D49">
      <w:pPr>
        <w:spacing w:line="360" w:lineRule="auto"/>
        <w:ind w:firstLine="706"/>
        <w:jc w:val="both"/>
        <w:rPr>
          <w:rFonts w:ascii="Times New Roman" w:eastAsia="Arial Unicode MS" w:hAnsi="Times New Roman" w:cs="Times New Roman"/>
          <w:sz w:val="24"/>
          <w:szCs w:val="24"/>
          <w:lang w:val="ro-RO"/>
        </w:rPr>
      </w:pPr>
      <w:r>
        <w:rPr>
          <w:rFonts w:ascii="Times New Roman" w:eastAsia="Arial Unicode MS" w:hAnsi="Times New Roman" w:cs="Times New Roman"/>
          <w:sz w:val="24"/>
          <w:szCs w:val="24"/>
          <w:lang w:val="ro-RO"/>
        </w:rPr>
        <w:t>3</w:t>
      </w:r>
      <w:r w:rsidRPr="00595D49">
        <w:rPr>
          <w:rFonts w:ascii="Times New Roman" w:eastAsia="Arial Unicode MS" w:hAnsi="Times New Roman" w:cs="Times New Roman"/>
          <w:sz w:val="24"/>
          <w:szCs w:val="24"/>
          <w:lang w:val="ro-RO"/>
        </w:rPr>
        <w:t>. Dacă este adevărat că Procurorul General a emis un ordin prin care a stabilit noile indemnizaţii de încadrare ale procurorilor, conform OUG nr. 20/2016, cu luarea în considerare a majorărilor de 5%, 2% şi 11% prevăzute de OG nr. 10/2007;</w:t>
      </w:r>
    </w:p>
    <w:p w:rsidR="00595D49" w:rsidRPr="00595D49" w:rsidRDefault="00595D49" w:rsidP="00595D49">
      <w:pPr>
        <w:spacing w:line="360" w:lineRule="auto"/>
        <w:ind w:firstLine="706"/>
        <w:jc w:val="both"/>
        <w:rPr>
          <w:rFonts w:ascii="Times New Roman" w:eastAsia="Arial Unicode MS" w:hAnsi="Times New Roman" w:cs="Times New Roman"/>
          <w:sz w:val="24"/>
          <w:szCs w:val="24"/>
          <w:lang w:val="ro-RO"/>
        </w:rPr>
      </w:pPr>
      <w:r w:rsidRPr="00595D49">
        <w:rPr>
          <w:rFonts w:ascii="Times New Roman" w:eastAsia="Arial Unicode MS" w:hAnsi="Times New Roman" w:cs="Times New Roman"/>
          <w:sz w:val="24"/>
          <w:szCs w:val="24"/>
          <w:lang w:val="ro-RO"/>
        </w:rPr>
        <w:t xml:space="preserve">4. Dacă este adevărat că Ordinul menţionat la pct. 3 a fost revocat şi care este motivul revocării. </w:t>
      </w:r>
    </w:p>
    <w:p w:rsidR="00D809B5" w:rsidRPr="00137B9F" w:rsidRDefault="00D809B5" w:rsidP="00D809B5">
      <w:pPr>
        <w:spacing w:after="0" w:line="240" w:lineRule="auto"/>
        <w:ind w:firstLine="706"/>
        <w:jc w:val="both"/>
        <w:rPr>
          <w:rFonts w:ascii="Times New Roman" w:eastAsia="Arial Unicode MS" w:hAnsi="Times New Roman" w:cs="Times New Roman"/>
          <w:sz w:val="24"/>
          <w:szCs w:val="24"/>
          <w:lang w:val="ro-RO"/>
        </w:rPr>
      </w:pPr>
    </w:p>
    <w:p w:rsidR="00137B9F" w:rsidRDefault="00D809B5" w:rsidP="00D809B5">
      <w:pPr>
        <w:spacing w:before="100" w:beforeAutospacing="1" w:after="100" w:afterAutospacing="1"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Preşedintele Judecătoriei Sectorului 5 Bucureşti,</w:t>
      </w:r>
    </w:p>
    <w:p w:rsidR="00D809B5" w:rsidRPr="00137B9F" w:rsidRDefault="00686714" w:rsidP="00D809B5">
      <w:pPr>
        <w:spacing w:before="100" w:beforeAutospacing="1" w:after="100" w:afterAutospacing="1"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Jud. Mihnea</w:t>
      </w:r>
      <w:r w:rsidR="00D809B5">
        <w:rPr>
          <w:rFonts w:ascii="Times New Roman" w:eastAsia="Times New Roman" w:hAnsi="Times New Roman" w:cs="Times New Roman"/>
          <w:b/>
          <w:bCs/>
          <w:sz w:val="24"/>
          <w:szCs w:val="24"/>
          <w:lang w:val="ro-RO"/>
        </w:rPr>
        <w:t xml:space="preserve"> Tănase</w:t>
      </w:r>
    </w:p>
    <w:p w:rsidR="00560B9A" w:rsidRPr="00137B9F" w:rsidRDefault="00560B9A">
      <w:pPr>
        <w:rPr>
          <w:lang w:val="ro-RO"/>
        </w:rPr>
      </w:pPr>
    </w:p>
    <w:sectPr w:rsidR="00560B9A" w:rsidRPr="00137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0A" w:rsidRDefault="0077410A" w:rsidP="00D809B5">
      <w:pPr>
        <w:spacing w:after="0" w:line="240" w:lineRule="auto"/>
      </w:pPr>
      <w:r>
        <w:separator/>
      </w:r>
    </w:p>
  </w:endnote>
  <w:endnote w:type="continuationSeparator" w:id="0">
    <w:p w:rsidR="0077410A" w:rsidRDefault="0077410A" w:rsidP="00D8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ill Sans MT Shadow">
    <w:altName w:val="Lucida Sans Unicode"/>
    <w:charset w:val="00"/>
    <w:family w:val="swiss"/>
    <w:pitch w:val="variable"/>
    <w:sig w:usb0="00000007"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0A" w:rsidRDefault="0077410A" w:rsidP="00D809B5">
      <w:pPr>
        <w:spacing w:after="0" w:line="240" w:lineRule="auto"/>
      </w:pPr>
      <w:r>
        <w:separator/>
      </w:r>
    </w:p>
  </w:footnote>
  <w:footnote w:type="continuationSeparator" w:id="0">
    <w:p w:rsidR="0077410A" w:rsidRDefault="0077410A" w:rsidP="00D809B5">
      <w:pPr>
        <w:spacing w:after="0" w:line="240" w:lineRule="auto"/>
      </w:pPr>
      <w:r>
        <w:continuationSeparator/>
      </w:r>
    </w:p>
  </w:footnote>
  <w:footnote w:id="1">
    <w:p w:rsidR="00957D1B" w:rsidRDefault="00957D1B" w:rsidP="00957D1B">
      <w:pPr>
        <w:pStyle w:val="Textnotdesubsol"/>
        <w:rPr>
          <w:lang w:val="ro-RO"/>
        </w:rPr>
      </w:pPr>
      <w:r>
        <w:rPr>
          <w:rStyle w:val="Referinnotdesubsol"/>
        </w:rPr>
        <w:footnoteRef/>
      </w:r>
      <w:r>
        <w:t xml:space="preserve"> </w:t>
      </w:r>
      <w:hyperlink r:id="rId1" w:history="1">
        <w:r>
          <w:rPr>
            <w:rStyle w:val="Hyperlink"/>
          </w:rPr>
          <w:t>http://www.juridice.ro/462105/scrisoare-deschisa-cu-privire-la-drepturile-salariale-ale-procurorilor.html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9F"/>
    <w:rsid w:val="00137B9F"/>
    <w:rsid w:val="00256704"/>
    <w:rsid w:val="00560B9A"/>
    <w:rsid w:val="00595D49"/>
    <w:rsid w:val="005E2A96"/>
    <w:rsid w:val="00686714"/>
    <w:rsid w:val="0077410A"/>
    <w:rsid w:val="007D0C75"/>
    <w:rsid w:val="00957D1B"/>
    <w:rsid w:val="00A64052"/>
    <w:rsid w:val="00AB0D5A"/>
    <w:rsid w:val="00D809B5"/>
    <w:rsid w:val="00E7307C"/>
    <w:rsid w:val="00F3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D809B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D809B5"/>
    <w:rPr>
      <w:sz w:val="20"/>
      <w:szCs w:val="20"/>
    </w:rPr>
  </w:style>
  <w:style w:type="character" w:styleId="Referinnotdesubsol">
    <w:name w:val="footnote reference"/>
    <w:basedOn w:val="Fontdeparagrafimplicit"/>
    <w:uiPriority w:val="99"/>
    <w:semiHidden/>
    <w:unhideWhenUsed/>
    <w:rsid w:val="00D809B5"/>
    <w:rPr>
      <w:vertAlign w:val="superscript"/>
    </w:rPr>
  </w:style>
  <w:style w:type="character" w:styleId="Hyperlink">
    <w:name w:val="Hyperlink"/>
    <w:basedOn w:val="Fontdeparagrafimplicit"/>
    <w:uiPriority w:val="99"/>
    <w:unhideWhenUsed/>
    <w:rsid w:val="00D809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D809B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D809B5"/>
    <w:rPr>
      <w:sz w:val="20"/>
      <w:szCs w:val="20"/>
    </w:rPr>
  </w:style>
  <w:style w:type="character" w:styleId="Referinnotdesubsol">
    <w:name w:val="footnote reference"/>
    <w:basedOn w:val="Fontdeparagrafimplicit"/>
    <w:uiPriority w:val="99"/>
    <w:semiHidden/>
    <w:unhideWhenUsed/>
    <w:rsid w:val="00D809B5"/>
    <w:rPr>
      <w:vertAlign w:val="superscript"/>
    </w:rPr>
  </w:style>
  <w:style w:type="character" w:styleId="Hyperlink">
    <w:name w:val="Hyperlink"/>
    <w:basedOn w:val="Fontdeparagrafimplicit"/>
    <w:uiPriority w:val="99"/>
    <w:unhideWhenUsed/>
    <w:rsid w:val="00D809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l.just.r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uridice.ro/462105/scrisoare-deschisa-cu-privire-la-drepturile-salariale-ale-procuroril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534</Words>
  <Characters>3103</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Rely</dc:creator>
  <cp:lastModifiedBy>Mihnea Tanase</cp:lastModifiedBy>
  <cp:revision>9</cp:revision>
  <dcterms:created xsi:type="dcterms:W3CDTF">2016-08-22T09:54:00Z</dcterms:created>
  <dcterms:modified xsi:type="dcterms:W3CDTF">2016-08-22T10:37:00Z</dcterms:modified>
</cp:coreProperties>
</file>