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43" w:rsidRPr="00D07643" w:rsidRDefault="00D07643" w:rsidP="00D07643">
      <w:pPr>
        <w:shd w:val="clear" w:color="auto" w:fill="FFFFFF"/>
        <w:spacing w:after="0" w:line="525" w:lineRule="atLeast"/>
        <w:outlineLvl w:val="0"/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  <w:lang w:eastAsia="ro-RO"/>
        </w:rPr>
      </w:pPr>
      <w:proofErr w:type="spellStart"/>
      <w:r w:rsidRPr="00D07643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  <w:lang w:eastAsia="ro-RO"/>
        </w:rPr>
        <w:t>rimul</w:t>
      </w:r>
      <w:proofErr w:type="spellEnd"/>
      <w:r w:rsidRPr="00D07643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  <w:lang w:eastAsia="ro-RO"/>
        </w:rPr>
        <w:t xml:space="preserve"> Exercițiu Național de </w:t>
      </w:r>
      <w:proofErr w:type="spellStart"/>
      <w:r w:rsidRPr="00D07643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  <w:lang w:eastAsia="ro-RO"/>
        </w:rPr>
        <w:t>Metaranking</w:t>
      </w:r>
      <w:proofErr w:type="spellEnd"/>
      <w:r w:rsidRPr="00D07643">
        <w:rPr>
          <w:rFonts w:ascii="Arial" w:eastAsia="Times New Roman" w:hAnsi="Arial" w:cs="Arial"/>
          <w:b/>
          <w:bCs/>
          <w:color w:val="004289"/>
          <w:kern w:val="36"/>
          <w:sz w:val="38"/>
          <w:szCs w:val="38"/>
          <w:lang w:eastAsia="ro-RO"/>
        </w:rPr>
        <w:t xml:space="preserve"> Universitar – 2016: concluzii și recomandări pentru universitățile românești</w:t>
      </w:r>
    </w:p>
    <w:p w:rsidR="00D07643" w:rsidRPr="00D07643" w:rsidRDefault="00D07643" w:rsidP="00D07643">
      <w:pPr>
        <w:shd w:val="clear" w:color="auto" w:fill="FFFFFF"/>
        <w:spacing w:before="100" w:beforeAutospacing="1" w:after="100" w:afterAutospacing="1" w:line="345" w:lineRule="atLeast"/>
        <w:outlineLvl w:val="2"/>
        <w:rPr>
          <w:rFonts w:ascii="inherit" w:eastAsia="Times New Roman" w:hAnsi="inherit" w:cs="Arial"/>
          <w:color w:val="333333"/>
          <w:sz w:val="23"/>
          <w:szCs w:val="23"/>
          <w:lang w:eastAsia="ro-RO"/>
        </w:rPr>
      </w:pPr>
      <w:r w:rsidRPr="00D07643">
        <w:rPr>
          <w:rFonts w:ascii="inherit" w:eastAsia="Times New Roman" w:hAnsi="inherit" w:cs="Arial"/>
          <w:color w:val="333333"/>
          <w:sz w:val="23"/>
          <w:szCs w:val="23"/>
          <w:lang w:eastAsia="ro-RO"/>
        </w:rPr>
        <w:t xml:space="preserve">Text </w:t>
      </w:r>
      <w:proofErr w:type="spellStart"/>
      <w:r w:rsidRPr="00D07643">
        <w:rPr>
          <w:rFonts w:ascii="inherit" w:eastAsia="Times New Roman" w:hAnsi="inherit" w:cs="Arial"/>
          <w:color w:val="333333"/>
          <w:sz w:val="23"/>
          <w:szCs w:val="23"/>
          <w:lang w:eastAsia="ro-RO"/>
        </w:rPr>
        <w:t>Size</w:t>
      </w:r>
      <w:proofErr w:type="spellEnd"/>
      <w:r w:rsidRPr="00D07643">
        <w:rPr>
          <w:rFonts w:ascii="inherit" w:eastAsia="Times New Roman" w:hAnsi="inherit" w:cs="Arial"/>
          <w:color w:val="333333"/>
          <w:sz w:val="23"/>
          <w:szCs w:val="23"/>
          <w:lang w:eastAsia="ro-RO"/>
        </w:rPr>
        <w:t>:</w:t>
      </w:r>
    </w:p>
    <w:p w:rsidR="00D07643" w:rsidRPr="00D07643" w:rsidRDefault="00D07643" w:rsidP="00D0764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D07643">
        <w:rPr>
          <w:rFonts w:ascii="Arial" w:eastAsia="Times New Roman" w:hAnsi="Arial" w:cs="Arial"/>
          <w:noProof/>
          <w:color w:val="337AB7"/>
          <w:sz w:val="23"/>
          <w:szCs w:val="23"/>
          <w:lang w:eastAsia="ro-RO"/>
        </w:rPr>
        <w:drawing>
          <wp:inline distT="0" distB="0" distL="0" distR="0">
            <wp:extent cx="152400" cy="152400"/>
            <wp:effectExtent l="0" t="0" r="0" b="0"/>
            <wp:docPr id="6" name="Imagine 6" descr="Increase">
              <a:hlinkClick xmlns:a="http://schemas.openxmlformats.org/drawingml/2006/main" r:id="rId5" tooltip="&quot;Text Size: Increase +6%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rease">
                      <a:hlinkClick r:id="rId5" tooltip="&quot;Text Size: Increase +6%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43" w:rsidRPr="00D07643" w:rsidRDefault="00D07643" w:rsidP="00D0764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D07643">
        <w:rPr>
          <w:rFonts w:ascii="Arial" w:eastAsia="Times New Roman" w:hAnsi="Arial" w:cs="Arial"/>
          <w:noProof/>
          <w:color w:val="337AB7"/>
          <w:sz w:val="23"/>
          <w:szCs w:val="23"/>
          <w:lang w:eastAsia="ro-RO"/>
        </w:rPr>
        <w:drawing>
          <wp:inline distT="0" distB="0" distL="0" distR="0">
            <wp:extent cx="152400" cy="152400"/>
            <wp:effectExtent l="0" t="0" r="0" b="0"/>
            <wp:docPr id="5" name="Imagine 5" descr="Decrease">
              <a:hlinkClick xmlns:a="http://schemas.openxmlformats.org/drawingml/2006/main" r:id="rId5" tooltip="&quot;Text Size: Decrease -6%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rease">
                      <a:hlinkClick r:id="rId5" tooltip="&quot;Text Size: Decrease -6%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43" w:rsidRPr="00D07643" w:rsidRDefault="00D07643" w:rsidP="00D0764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D07643">
        <w:rPr>
          <w:rFonts w:ascii="Arial" w:eastAsia="Times New Roman" w:hAnsi="Arial" w:cs="Arial"/>
          <w:noProof/>
          <w:color w:val="337AB7"/>
          <w:sz w:val="23"/>
          <w:szCs w:val="23"/>
          <w:lang w:eastAsia="ro-RO"/>
        </w:rPr>
        <w:drawing>
          <wp:inline distT="0" distB="0" distL="0" distR="0">
            <wp:extent cx="152400" cy="152400"/>
            <wp:effectExtent l="0" t="0" r="0" b="0"/>
            <wp:docPr id="4" name="Imagine 4" descr="Normal">
              <a:hlinkClick xmlns:a="http://schemas.openxmlformats.org/drawingml/2006/main" r:id="rId5" tooltip="&quot;Text Size: Normal =100%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mal">
                      <a:hlinkClick r:id="rId5" tooltip="&quot;Text Size: Normal =100%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43" w:rsidRPr="00D07643" w:rsidRDefault="00D07643" w:rsidP="00D07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proofErr w:type="spellStart"/>
      <w:r w:rsidRPr="00D0764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Current</w:t>
      </w:r>
      <w:proofErr w:type="spellEnd"/>
      <w:r w:rsidRPr="00D0764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Size:100%</w:t>
      </w:r>
    </w:p>
    <w:p w:rsidR="00D07643" w:rsidRPr="00D07643" w:rsidRDefault="00D07643" w:rsidP="00D07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proofErr w:type="spellStart"/>
      <w:r w:rsidRPr="00D0764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Contrast:</w:t>
      </w:r>
      <w:hyperlink r:id="rId9" w:history="1">
        <w:r w:rsidRPr="00D07643">
          <w:rPr>
            <w:rFonts w:ascii="Arial" w:eastAsia="Times New Roman" w:hAnsi="Arial" w:cs="Arial"/>
            <w:color w:val="337AB7"/>
            <w:sz w:val="23"/>
            <w:szCs w:val="23"/>
            <w:lang w:eastAsia="ro-RO"/>
          </w:rPr>
          <w:t>Ridicat</w:t>
        </w:r>
      </w:hyperlink>
      <w:r w:rsidRPr="00D0764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|</w:t>
      </w:r>
      <w:hyperlink r:id="rId10" w:history="1">
        <w:r w:rsidRPr="00D07643">
          <w:rPr>
            <w:rFonts w:ascii="Arial" w:eastAsia="Times New Roman" w:hAnsi="Arial" w:cs="Arial"/>
            <w:color w:val="337AB7"/>
            <w:sz w:val="23"/>
            <w:szCs w:val="23"/>
            <w:lang w:eastAsia="ro-RO"/>
          </w:rPr>
          <w:t>Normal</w:t>
        </w:r>
        <w:proofErr w:type="spellEnd"/>
      </w:hyperlink>
    </w:p>
    <w:p w:rsidR="00D07643" w:rsidRPr="00D07643" w:rsidRDefault="00D07643" w:rsidP="00D076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o-RO"/>
        </w:rPr>
      </w:pPr>
      <w:r w:rsidRPr="00D07643">
        <w:rPr>
          <w:rFonts w:ascii="Arial" w:eastAsia="Times New Roman" w:hAnsi="Arial" w:cs="Arial"/>
          <w:vanish/>
          <w:sz w:val="16"/>
          <w:szCs w:val="16"/>
          <w:lang w:eastAsia="ro-RO"/>
        </w:rPr>
        <w:t>Partea superioară a formularului</w:t>
      </w:r>
    </w:p>
    <w:p w:rsidR="00D07643" w:rsidRPr="00D07643" w:rsidRDefault="00D07643" w:rsidP="00D07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D0764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Page </w:t>
      </w:r>
      <w:proofErr w:type="spellStart"/>
      <w:r w:rsidRPr="00D0764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Style</w:t>
      </w:r>
      <w:proofErr w:type="spellEnd"/>
      <w:r w:rsidRPr="00D07643">
        <w:rPr>
          <w:rFonts w:ascii="Arial" w:eastAsia="Times New Roman" w:hAnsi="Arial" w:cs="Arial"/>
          <w:color w:val="333333"/>
          <w:sz w:val="23"/>
          <w:szCs w:val="23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80.4pt;height:18pt" o:ole="">
            <v:imagedata r:id="rId11" o:title=""/>
          </v:shape>
          <w:control r:id="rId12" w:name="DefaultOcxName" w:shapeid="_x0000_i1039"/>
        </w:object>
      </w:r>
    </w:p>
    <w:p w:rsidR="00D07643" w:rsidRPr="00D07643" w:rsidRDefault="00D07643" w:rsidP="00D07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proofErr w:type="spellStart"/>
      <w:r w:rsidRPr="00D0764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Current</w:t>
      </w:r>
      <w:proofErr w:type="spellEnd"/>
      <w:r w:rsidRPr="00D0764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proofErr w:type="spellStart"/>
      <w:r w:rsidRPr="00D0764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Style:Standard</w:t>
      </w:r>
      <w:proofErr w:type="spellEnd"/>
    </w:p>
    <w:p w:rsidR="00D07643" w:rsidRPr="00D07643" w:rsidRDefault="00D07643" w:rsidP="00D076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o-RO"/>
        </w:rPr>
      </w:pPr>
      <w:r w:rsidRPr="00D07643">
        <w:rPr>
          <w:rFonts w:ascii="Arial" w:eastAsia="Times New Roman" w:hAnsi="Arial" w:cs="Arial"/>
          <w:vanish/>
          <w:sz w:val="16"/>
          <w:szCs w:val="16"/>
          <w:lang w:eastAsia="ro-RO"/>
        </w:rPr>
        <w:t>Partea inferioară a formularului</w:t>
      </w:r>
    </w:p>
    <w:p w:rsidR="00D07643" w:rsidRPr="00D07643" w:rsidRDefault="00D07643" w:rsidP="00D07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D07643">
        <w:rPr>
          <w:rFonts w:ascii="Arial" w:eastAsia="Times New Roman" w:hAnsi="Arial" w:cs="Arial"/>
          <w:noProof/>
          <w:color w:val="333333"/>
          <w:sz w:val="23"/>
          <w:szCs w:val="23"/>
          <w:lang w:eastAsia="ro-RO"/>
        </w:rPr>
        <w:drawing>
          <wp:inline distT="0" distB="0" distL="0" distR="0">
            <wp:extent cx="381000" cy="381000"/>
            <wp:effectExtent l="0" t="0" r="0" b="0"/>
            <wp:docPr id="3" name="Imagin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43" w:rsidRPr="00D07643" w:rsidRDefault="00D07643" w:rsidP="00D0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07643"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ro-RO"/>
        </w:rPr>
        <w:drawing>
          <wp:inline distT="0" distB="0" distL="0" distR="0">
            <wp:extent cx="152400" cy="152400"/>
            <wp:effectExtent l="0" t="0" r="0" b="0"/>
            <wp:docPr id="2" name="Imagine 2" descr="Versiune tipar">
              <a:hlinkClick xmlns:a="http://schemas.openxmlformats.org/drawingml/2006/main" r:id="rId14" tooltip="&quot;Display a printer-friendly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siune tipar">
                      <a:hlinkClick r:id="rId14" tooltip="&quot;Display a printer-friendly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43"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ro-RO"/>
        </w:rPr>
        <w:drawing>
          <wp:inline distT="0" distB="0" distL="0" distR="0">
            <wp:extent cx="152400" cy="152400"/>
            <wp:effectExtent l="0" t="0" r="0" b="0"/>
            <wp:docPr id="1" name="Imagine 1" descr="Send by email">
              <a:hlinkClick xmlns:a="http://schemas.openxmlformats.org/drawingml/2006/main" r:id="rId16" tooltip="&quot;Send this page by emai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d by email">
                      <a:hlinkClick r:id="rId16" tooltip="&quot;Send this page by emai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43" w:rsidRPr="00D07643" w:rsidRDefault="00D07643" w:rsidP="00D07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076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Data publicării: </w:t>
      </w:r>
    </w:p>
    <w:p w:rsidR="00D07643" w:rsidRPr="00D07643" w:rsidRDefault="00D07643" w:rsidP="00D0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07643">
        <w:rPr>
          <w:rFonts w:ascii="Times New Roman" w:eastAsia="Times New Roman" w:hAnsi="Times New Roman" w:cs="Times New Roman"/>
          <w:b/>
          <w:bCs/>
          <w:color w:val="999999"/>
          <w:sz w:val="17"/>
          <w:szCs w:val="17"/>
          <w:lang w:eastAsia="ro-RO"/>
        </w:rPr>
        <w:t>15 Noi 2016</w:t>
      </w:r>
    </w:p>
    <w:p w:rsidR="00D07643" w:rsidRPr="00D07643" w:rsidRDefault="00D07643" w:rsidP="00D076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o-RO"/>
        </w:rPr>
      </w:pPr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În anul 2016, 20 de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universităţi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din România (din cele 92 de universități active, 4 dintre acestea aflate însă în fază de lichidare), toate de stat,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reuşesc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să treacă un prag minimal al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vizibilităţii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în clasamentele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internaţionale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ale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universităţilor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bazate dominant pe criterii/indicatori academici. Dintre acestea, 5 instituții de învățământ superior intră în categoria </w:t>
      </w:r>
      <w:proofErr w:type="spellStart"/>
      <w:r w:rsidRPr="00D07643">
        <w:rPr>
          <w:rFonts w:ascii="Times New Roman" w:eastAsia="Times New Roman" w:hAnsi="Times New Roman" w:cs="Times New Roman"/>
          <w:b/>
          <w:bCs/>
          <w:sz w:val="23"/>
          <w:szCs w:val="23"/>
          <w:lang w:eastAsia="ro-RO"/>
        </w:rPr>
        <w:t>Universităţi</w:t>
      </w:r>
      <w:proofErr w:type="spellEnd"/>
      <w:r w:rsidRPr="00D07643">
        <w:rPr>
          <w:rFonts w:ascii="Times New Roman" w:eastAsia="Times New Roman" w:hAnsi="Times New Roman" w:cs="Times New Roman"/>
          <w:b/>
          <w:bCs/>
          <w:sz w:val="23"/>
          <w:szCs w:val="23"/>
          <w:lang w:eastAsia="ro-RO"/>
        </w:rPr>
        <w:t xml:space="preserve"> </w:t>
      </w:r>
      <w:proofErr w:type="spellStart"/>
      <w:r w:rsidRPr="00D07643">
        <w:rPr>
          <w:rFonts w:ascii="Times New Roman" w:eastAsia="Times New Roman" w:hAnsi="Times New Roman" w:cs="Times New Roman"/>
          <w:b/>
          <w:bCs/>
          <w:sz w:val="23"/>
          <w:szCs w:val="23"/>
          <w:lang w:eastAsia="ro-RO"/>
        </w:rPr>
        <w:t>româneşti</w:t>
      </w:r>
      <w:proofErr w:type="spellEnd"/>
      <w:r w:rsidRPr="00D07643">
        <w:rPr>
          <w:rFonts w:ascii="Times New Roman" w:eastAsia="Times New Roman" w:hAnsi="Times New Roman" w:cs="Times New Roman"/>
          <w:b/>
          <w:bCs/>
          <w:sz w:val="23"/>
          <w:szCs w:val="23"/>
          <w:lang w:eastAsia="ro-RO"/>
        </w:rPr>
        <w:t xml:space="preserve"> cu </w:t>
      </w:r>
      <w:proofErr w:type="spellStart"/>
      <w:r w:rsidRPr="00D07643">
        <w:rPr>
          <w:rFonts w:ascii="Times New Roman" w:eastAsia="Times New Roman" w:hAnsi="Times New Roman" w:cs="Times New Roman"/>
          <w:b/>
          <w:bCs/>
          <w:sz w:val="23"/>
          <w:szCs w:val="23"/>
          <w:lang w:eastAsia="ro-RO"/>
        </w:rPr>
        <w:t>potenţial</w:t>
      </w:r>
      <w:proofErr w:type="spellEnd"/>
      <w:r w:rsidRPr="00D07643">
        <w:rPr>
          <w:rFonts w:ascii="Times New Roman" w:eastAsia="Times New Roman" w:hAnsi="Times New Roman" w:cs="Times New Roman"/>
          <w:b/>
          <w:bCs/>
          <w:sz w:val="23"/>
          <w:szCs w:val="23"/>
          <w:lang w:eastAsia="ro-RO"/>
        </w:rPr>
        <w:t xml:space="preserve"> de </w:t>
      </w:r>
      <w:proofErr w:type="spellStart"/>
      <w:r w:rsidRPr="00D07643">
        <w:rPr>
          <w:rFonts w:ascii="Times New Roman" w:eastAsia="Times New Roman" w:hAnsi="Times New Roman" w:cs="Times New Roman"/>
          <w:b/>
          <w:bCs/>
          <w:sz w:val="23"/>
          <w:szCs w:val="23"/>
          <w:lang w:eastAsia="ro-RO"/>
        </w:rPr>
        <w:t>excelenţă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, vizibile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şi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cu impact internațional (în ordinea din clasament: Universitatea „Babeș-Bolyai” din Cluj-Napoca, Universitatea din București, Universitatea Politehnica din București, Universitatea „Alexandru Ioan Cuza” din Iași 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şi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Universitatea de Vest din Timișoara), în timp ce celelalte 15 instituții de învățământ superior pot fi grupate în categoria </w:t>
      </w:r>
      <w:proofErr w:type="spellStart"/>
      <w:r w:rsidRPr="00D07643">
        <w:rPr>
          <w:rFonts w:ascii="Times New Roman" w:eastAsia="Times New Roman" w:hAnsi="Times New Roman" w:cs="Times New Roman"/>
          <w:b/>
          <w:bCs/>
          <w:sz w:val="23"/>
          <w:szCs w:val="23"/>
          <w:lang w:eastAsia="ro-RO"/>
        </w:rPr>
        <w:t>Universităţi</w:t>
      </w:r>
      <w:proofErr w:type="spellEnd"/>
      <w:r w:rsidRPr="00D07643">
        <w:rPr>
          <w:rFonts w:ascii="Times New Roman" w:eastAsia="Times New Roman" w:hAnsi="Times New Roman" w:cs="Times New Roman"/>
          <w:b/>
          <w:bCs/>
          <w:sz w:val="23"/>
          <w:szCs w:val="23"/>
          <w:lang w:eastAsia="ro-RO"/>
        </w:rPr>
        <w:t xml:space="preserve"> </w:t>
      </w:r>
      <w:proofErr w:type="spellStart"/>
      <w:r w:rsidRPr="00D07643">
        <w:rPr>
          <w:rFonts w:ascii="Times New Roman" w:eastAsia="Times New Roman" w:hAnsi="Times New Roman" w:cs="Times New Roman"/>
          <w:b/>
          <w:bCs/>
          <w:sz w:val="23"/>
          <w:szCs w:val="23"/>
          <w:lang w:eastAsia="ro-RO"/>
        </w:rPr>
        <w:t>româneşti</w:t>
      </w:r>
      <w:proofErr w:type="spellEnd"/>
      <w:r w:rsidRPr="00D07643">
        <w:rPr>
          <w:rFonts w:ascii="Times New Roman" w:eastAsia="Times New Roman" w:hAnsi="Times New Roman" w:cs="Times New Roman"/>
          <w:b/>
          <w:bCs/>
          <w:sz w:val="23"/>
          <w:szCs w:val="23"/>
          <w:lang w:eastAsia="ro-RO"/>
        </w:rPr>
        <w:t xml:space="preserve"> vizibile internațional</w:t>
      </w:r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.</w:t>
      </w:r>
    </w:p>
    <w:p w:rsidR="00D07643" w:rsidRPr="00D07643" w:rsidRDefault="00D07643" w:rsidP="00D076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o-RO"/>
        </w:rPr>
      </w:pPr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Concluzia este publicată în </w:t>
      </w:r>
      <w:hyperlink r:id="rId18" w:tgtFrame="_blank" w:history="1">
        <w:r w:rsidRPr="00D07643">
          <w:rPr>
            <w:rFonts w:ascii="Times New Roman" w:eastAsia="Times New Roman" w:hAnsi="Times New Roman" w:cs="Times New Roman"/>
            <w:b/>
            <w:bCs/>
            <w:color w:val="337AB7"/>
            <w:sz w:val="23"/>
            <w:szCs w:val="23"/>
            <w:lang w:eastAsia="ro-RO"/>
          </w:rPr>
          <w:t xml:space="preserve">Raportul asupra Exercițiului Național de </w:t>
        </w:r>
        <w:proofErr w:type="spellStart"/>
        <w:r w:rsidRPr="00D07643">
          <w:rPr>
            <w:rFonts w:ascii="Times New Roman" w:eastAsia="Times New Roman" w:hAnsi="Times New Roman" w:cs="Times New Roman"/>
            <w:b/>
            <w:bCs/>
            <w:color w:val="337AB7"/>
            <w:sz w:val="23"/>
            <w:szCs w:val="23"/>
            <w:lang w:eastAsia="ro-RO"/>
          </w:rPr>
          <w:t>Metaranking</w:t>
        </w:r>
        <w:proofErr w:type="spellEnd"/>
        <w:r w:rsidRPr="00D07643">
          <w:rPr>
            <w:rFonts w:ascii="Times New Roman" w:eastAsia="Times New Roman" w:hAnsi="Times New Roman" w:cs="Times New Roman"/>
            <w:b/>
            <w:bCs/>
            <w:color w:val="337AB7"/>
            <w:sz w:val="23"/>
            <w:szCs w:val="23"/>
            <w:lang w:eastAsia="ro-RO"/>
          </w:rPr>
          <w:t xml:space="preserve"> Universitar – 2016</w:t>
        </w:r>
      </w:hyperlink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, elaborat de cei 8 membri ai Grupului de experți de înalt nivel (</w:t>
      </w:r>
      <w:proofErr w:type="spellStart"/>
      <w:r w:rsidRPr="00D07643">
        <w:rPr>
          <w:rFonts w:ascii="Times New Roman" w:eastAsia="Times New Roman" w:hAnsi="Times New Roman" w:cs="Times New Roman"/>
          <w:i/>
          <w:iCs/>
          <w:sz w:val="23"/>
          <w:szCs w:val="23"/>
          <w:lang w:eastAsia="ro-RO"/>
        </w:rPr>
        <w:t>High</w:t>
      </w:r>
      <w:proofErr w:type="spellEnd"/>
      <w:r w:rsidRPr="00D07643">
        <w:rPr>
          <w:rFonts w:ascii="Times New Roman" w:eastAsia="Times New Roman" w:hAnsi="Times New Roman" w:cs="Times New Roman"/>
          <w:i/>
          <w:iCs/>
          <w:sz w:val="23"/>
          <w:szCs w:val="23"/>
          <w:lang w:eastAsia="ro-RO"/>
        </w:rPr>
        <w:t xml:space="preserve"> </w:t>
      </w:r>
      <w:proofErr w:type="spellStart"/>
      <w:r w:rsidRPr="00D07643">
        <w:rPr>
          <w:rFonts w:ascii="Times New Roman" w:eastAsia="Times New Roman" w:hAnsi="Times New Roman" w:cs="Times New Roman"/>
          <w:i/>
          <w:iCs/>
          <w:sz w:val="23"/>
          <w:szCs w:val="23"/>
          <w:lang w:eastAsia="ro-RO"/>
        </w:rPr>
        <w:t>Level</w:t>
      </w:r>
      <w:proofErr w:type="spellEnd"/>
      <w:r w:rsidRPr="00D07643">
        <w:rPr>
          <w:rFonts w:ascii="Times New Roman" w:eastAsia="Times New Roman" w:hAnsi="Times New Roman" w:cs="Times New Roman"/>
          <w:i/>
          <w:iCs/>
          <w:sz w:val="23"/>
          <w:szCs w:val="23"/>
          <w:lang w:eastAsia="ro-RO"/>
        </w:rPr>
        <w:t xml:space="preserve"> </w:t>
      </w:r>
      <w:proofErr w:type="spellStart"/>
      <w:r w:rsidRPr="00D07643">
        <w:rPr>
          <w:rFonts w:ascii="Times New Roman" w:eastAsia="Times New Roman" w:hAnsi="Times New Roman" w:cs="Times New Roman"/>
          <w:i/>
          <w:iCs/>
          <w:sz w:val="23"/>
          <w:szCs w:val="23"/>
          <w:lang w:eastAsia="ro-RO"/>
        </w:rPr>
        <w:t>Experts</w:t>
      </w:r>
      <w:proofErr w:type="spellEnd"/>
      <w:r w:rsidRPr="00D07643">
        <w:rPr>
          <w:rFonts w:ascii="Times New Roman" w:eastAsia="Times New Roman" w:hAnsi="Times New Roman" w:cs="Times New Roman"/>
          <w:i/>
          <w:iCs/>
          <w:sz w:val="23"/>
          <w:szCs w:val="23"/>
          <w:lang w:eastAsia="ro-RO"/>
        </w:rPr>
        <w:t xml:space="preserve"> Group</w:t>
      </w:r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), numiți prin Ordinul de ministru nr. 5665, din 27.10.2016. Autorii raportului (în ordine alfabetică) sunt dr. Ovidiu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Andronesi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, dr. Dorel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Banabic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, dr. Carmen Buzea, dr. Daniel David, dr. Adrian Miroiu, dr. Bogdan Murgescu, dr. Anca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Prisăcariu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şi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dr. Lazăr Vlăsceanu.</w:t>
      </w:r>
    </w:p>
    <w:p w:rsidR="00D07643" w:rsidRPr="00D07643" w:rsidRDefault="00D07643" w:rsidP="00D076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o-RO"/>
        </w:rPr>
      </w:pPr>
      <w:r w:rsidRPr="00D07643">
        <w:rPr>
          <w:rFonts w:ascii="Times New Roman" w:eastAsia="Times New Roman" w:hAnsi="Times New Roman" w:cs="Times New Roman"/>
          <w:b/>
          <w:bCs/>
          <w:sz w:val="23"/>
          <w:szCs w:val="23"/>
          <w:lang w:eastAsia="ro-RO"/>
        </w:rPr>
        <w:t xml:space="preserve">Obiectivul </w:t>
      </w:r>
      <w:proofErr w:type="spellStart"/>
      <w:r w:rsidRPr="00D07643">
        <w:rPr>
          <w:rFonts w:ascii="Times New Roman" w:eastAsia="Times New Roman" w:hAnsi="Times New Roman" w:cs="Times New Roman"/>
          <w:b/>
          <w:bCs/>
          <w:sz w:val="23"/>
          <w:szCs w:val="23"/>
          <w:lang w:eastAsia="ro-RO"/>
        </w:rPr>
        <w:t>Metarankingului</w:t>
      </w:r>
      <w:proofErr w:type="spellEnd"/>
      <w:r w:rsidRPr="00D07643">
        <w:rPr>
          <w:rFonts w:ascii="Times New Roman" w:eastAsia="Times New Roman" w:hAnsi="Times New Roman" w:cs="Times New Roman"/>
          <w:b/>
          <w:bCs/>
          <w:sz w:val="23"/>
          <w:szCs w:val="23"/>
          <w:lang w:eastAsia="ro-RO"/>
        </w:rPr>
        <w:t xml:space="preserve"> Universitar 2016 a fost cunoașterea poziționării universităților românești în clasamentele internaționale de profil. </w:t>
      </w:r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Analiza a ținut cont de cele 9 clasamente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internaţionale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relevante care oferă un scor global și care includ preponderent criterii/indicatori academici. Rezultatele analizei scot în evidență atât universitățile românești care trec un prag minimal al vizibilității internaționale (cele 15 universități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româneşti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vizibile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internaţional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), cât și universitățile cu potențial </w:t>
      </w:r>
      <w:proofErr w:type="spellStart"/>
      <w:r w:rsidRPr="00D07643">
        <w:rPr>
          <w:rFonts w:ascii="Times New Roman" w:eastAsia="Times New Roman" w:hAnsi="Times New Roman" w:cs="Times New Roman"/>
          <w:i/>
          <w:iCs/>
          <w:sz w:val="23"/>
          <w:szCs w:val="23"/>
          <w:lang w:eastAsia="ro-RO"/>
        </w:rPr>
        <w:t>world-class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,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potenţial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competitive în aria internațională a educației și cercetării (cele 5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universităţi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 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româneşti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cu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potenţial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de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excelenţă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, vizibile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şi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cu impact internațional).</w:t>
      </w:r>
    </w:p>
    <w:p w:rsidR="00D07643" w:rsidRPr="00D07643" w:rsidRDefault="00D07643" w:rsidP="00D076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o-RO"/>
        </w:rPr>
      </w:pPr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Pe baza rezultatelor relevate de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Metarankingul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Universitar 2016 autorii au formulat o serie de recomandări. Astfel, pentru a-și transforma potențialul în realitate de tip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world-class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, universitățile trebuie susținute prin politici specifice, inclusiv financiare. Spre exemplu, prima universitate din România în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Metarankingul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Universitar-2016 – Universitatea „Babeș-Bolyai” din Cluj-Napoca – are un buget anual de aproximativ 10 de ori mai mic decât ultima clasată în clasamentul internațional </w:t>
      </w:r>
      <w:r w:rsidRPr="00D07643">
        <w:rPr>
          <w:rFonts w:ascii="Times New Roman" w:eastAsia="Times New Roman" w:hAnsi="Times New Roman" w:cs="Times New Roman"/>
          <w:i/>
          <w:iCs/>
          <w:sz w:val="23"/>
          <w:szCs w:val="23"/>
          <w:lang w:eastAsia="ro-RO"/>
        </w:rPr>
        <w:t xml:space="preserve">Academic </w:t>
      </w:r>
      <w:proofErr w:type="spellStart"/>
      <w:r w:rsidRPr="00D07643">
        <w:rPr>
          <w:rFonts w:ascii="Times New Roman" w:eastAsia="Times New Roman" w:hAnsi="Times New Roman" w:cs="Times New Roman"/>
          <w:i/>
          <w:iCs/>
          <w:sz w:val="23"/>
          <w:szCs w:val="23"/>
          <w:lang w:eastAsia="ro-RO"/>
        </w:rPr>
        <w:t>Ranking</w:t>
      </w:r>
      <w:proofErr w:type="spellEnd"/>
      <w:r w:rsidRPr="00D07643">
        <w:rPr>
          <w:rFonts w:ascii="Times New Roman" w:eastAsia="Times New Roman" w:hAnsi="Times New Roman" w:cs="Times New Roman"/>
          <w:i/>
          <w:iCs/>
          <w:sz w:val="23"/>
          <w:szCs w:val="23"/>
          <w:lang w:eastAsia="ro-RO"/>
        </w:rPr>
        <w:t xml:space="preserve"> of World </w:t>
      </w:r>
      <w:proofErr w:type="spellStart"/>
      <w:r w:rsidRPr="00D07643">
        <w:rPr>
          <w:rFonts w:ascii="Times New Roman" w:eastAsia="Times New Roman" w:hAnsi="Times New Roman" w:cs="Times New Roman"/>
          <w:i/>
          <w:iCs/>
          <w:sz w:val="23"/>
          <w:szCs w:val="23"/>
          <w:lang w:eastAsia="ro-RO"/>
        </w:rPr>
        <w:t>Universities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/ARWU (Washington State University).</w:t>
      </w:r>
    </w:p>
    <w:p w:rsidR="00D07643" w:rsidRPr="00D07643" w:rsidRDefault="00D07643" w:rsidP="00D076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o-RO"/>
        </w:rPr>
      </w:pPr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lastRenderedPageBreak/>
        <w:t xml:space="preserve">Pe lângă modul clasic de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finanţare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a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universităţilor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, un fond de competitivitate trebuie să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susţină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universităţile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româneşti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vizibile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internaţional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, iar un fond de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excelenţă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trebuie să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susţină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universităţile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româneşti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cu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potenţial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de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excelenţă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, vizibile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şi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cu impact internațional. De asemenea, se impune utilizarea unor  criterii/indicatori din clasamentele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internaţionale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ale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universităţilor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, împreună cu criterii/indicatori locali/regionali/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naţionali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şi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vocaţionali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relevanți, într-o metodologie specializată pe evaluări academice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naţionale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practicate la intervale de maximum cinci ani, pe universități și pe programe de studii ordonate pe domenii.</w:t>
      </w:r>
    </w:p>
    <w:p w:rsidR="00D07643" w:rsidRPr="00D07643" w:rsidRDefault="00D07643" w:rsidP="00D076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o-RO"/>
        </w:rPr>
      </w:pPr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Nu în ultimul rând se desprinde necesitatea efectuării anuale a acestui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exerciţiu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de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metaranking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, coroborată cu dezvoltarea sa periodică (la intervale de maximum cinci ani) într-un demers complex de evaluare comprehensivă a tuturor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universităţilor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</w:t>
      </w:r>
      <w:proofErr w:type="spellStart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>şi</w:t>
      </w:r>
      <w:proofErr w:type="spellEnd"/>
      <w:r w:rsidRPr="00D07643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programelor de studii universitare din România.</w:t>
      </w:r>
    </w:p>
    <w:p w:rsidR="00D07643" w:rsidRPr="00D07643" w:rsidRDefault="00D07643" w:rsidP="00D076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o-RO"/>
        </w:rPr>
      </w:pPr>
      <w:r w:rsidRPr="00D07643">
        <w:rPr>
          <w:rFonts w:ascii="Times New Roman" w:eastAsia="Times New Roman" w:hAnsi="Times New Roman" w:cs="Times New Roman"/>
          <w:b/>
          <w:bCs/>
          <w:sz w:val="23"/>
          <w:szCs w:val="23"/>
          <w:lang w:eastAsia="ro-RO"/>
        </w:rPr>
        <w:t>BIROUL DE COMUNICARE</w:t>
      </w:r>
    </w:p>
    <w:p w:rsidR="006936AB" w:rsidRDefault="006936AB">
      <w:bookmarkStart w:id="0" w:name="_GoBack"/>
      <w:bookmarkEnd w:id="0"/>
    </w:p>
    <w:sectPr w:rsidR="0069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4C01"/>
    <w:multiLevelType w:val="multilevel"/>
    <w:tmpl w:val="ED12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3"/>
    <w:rsid w:val="006936AB"/>
    <w:rsid w:val="00D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2C456-DA90-4C20-8CEF-95C4078F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D07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D07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0764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D0764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D07643"/>
    <w:rPr>
      <w:color w:val="0000FF"/>
      <w:u w:val="single"/>
    </w:rPr>
  </w:style>
  <w:style w:type="paragraph" w:customStyle="1" w:styleId="textsizecurrent">
    <w:name w:val="textsize_current"/>
    <w:basedOn w:val="Normal"/>
    <w:rsid w:val="00D0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isplayhidden">
    <w:name w:val="display_hidden"/>
    <w:basedOn w:val="Fontdeparagrafimplicit"/>
    <w:rsid w:val="00D07643"/>
  </w:style>
  <w:style w:type="paragraph" w:styleId="NormalWeb">
    <w:name w:val="Normal (Web)"/>
    <w:basedOn w:val="Normal"/>
    <w:uiPriority w:val="99"/>
    <w:semiHidden/>
    <w:unhideWhenUsed/>
    <w:rsid w:val="00D0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ighcontrastswitcherlabel">
    <w:name w:val="high_contrast_switcher_label"/>
    <w:basedOn w:val="Fontdeparagrafimplicit"/>
    <w:rsid w:val="00D07643"/>
  </w:style>
  <w:style w:type="character" w:customStyle="1" w:styleId="highcontrastswitcherhigh">
    <w:name w:val="high_contrast_switcher_high"/>
    <w:basedOn w:val="Fontdeparagrafimplicit"/>
    <w:rsid w:val="00D07643"/>
  </w:style>
  <w:style w:type="character" w:customStyle="1" w:styleId="highcontrastswitcherseparator">
    <w:name w:val="high_contrast_switcher_separator"/>
    <w:basedOn w:val="Fontdeparagrafimplicit"/>
    <w:rsid w:val="00D07643"/>
  </w:style>
  <w:style w:type="character" w:customStyle="1" w:styleId="highcontrastswitchernormal">
    <w:name w:val="high_contrast_switcher_normal"/>
    <w:basedOn w:val="Fontdeparagrafimplicit"/>
    <w:rsid w:val="00D07643"/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D076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D07643"/>
    <w:rPr>
      <w:rFonts w:ascii="Arial" w:eastAsia="Times New Roman" w:hAnsi="Arial" w:cs="Arial"/>
      <w:vanish/>
      <w:sz w:val="16"/>
      <w:szCs w:val="16"/>
      <w:lang w:eastAsia="ro-RO"/>
    </w:rPr>
  </w:style>
  <w:style w:type="paragraph" w:customStyle="1" w:styleId="pagestylecurrent">
    <w:name w:val="pagestyle_current"/>
    <w:basedOn w:val="Normal"/>
    <w:rsid w:val="00D0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D076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D07643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rinthtml">
    <w:name w:val="print_html"/>
    <w:basedOn w:val="Fontdeparagrafimplicit"/>
    <w:rsid w:val="00D07643"/>
  </w:style>
  <w:style w:type="character" w:customStyle="1" w:styleId="printmail">
    <w:name w:val="print_mail"/>
    <w:basedOn w:val="Fontdeparagrafimplicit"/>
    <w:rsid w:val="00D07643"/>
  </w:style>
  <w:style w:type="character" w:customStyle="1" w:styleId="date-display-single">
    <w:name w:val="date-display-single"/>
    <w:basedOn w:val="Fontdeparagrafimplicit"/>
    <w:rsid w:val="00D07643"/>
  </w:style>
  <w:style w:type="paragraph" w:customStyle="1" w:styleId="rtejustify">
    <w:name w:val="rtejustify"/>
    <w:basedOn w:val="Normal"/>
    <w:rsid w:val="00D0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Fontdeparagrafimplicit"/>
    <w:rsid w:val="00D07643"/>
  </w:style>
  <w:style w:type="character" w:styleId="Robust">
    <w:name w:val="Strong"/>
    <w:basedOn w:val="Fontdeparagrafimplicit"/>
    <w:uiPriority w:val="22"/>
    <w:qFormat/>
    <w:rsid w:val="00D07643"/>
    <w:rPr>
      <w:b/>
      <w:bCs/>
    </w:rPr>
  </w:style>
  <w:style w:type="character" w:styleId="Accentuat">
    <w:name w:val="Emphasis"/>
    <w:basedOn w:val="Fontdeparagrafimplicit"/>
    <w:uiPriority w:val="20"/>
    <w:qFormat/>
    <w:rsid w:val="00D07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4551">
          <w:marLeft w:val="0"/>
          <w:marRight w:val="-3000"/>
          <w:marTop w:val="0"/>
          <w:marBottom w:val="0"/>
          <w:divBdr>
            <w:top w:val="single" w:sz="6" w:space="4" w:color="023380"/>
            <w:left w:val="single" w:sz="6" w:space="4" w:color="023380"/>
            <w:bottom w:val="single" w:sz="6" w:space="4" w:color="023380"/>
            <w:right w:val="single" w:sz="6" w:space="0" w:color="023380"/>
          </w:divBdr>
          <w:divsChild>
            <w:div w:id="19094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2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eg"/><Relationship Id="rId18" Type="http://schemas.openxmlformats.org/officeDocument/2006/relationships/hyperlink" Target="http://edu.ro/raport-asupra-exerci%C8%9Biului-na%C8%9Bional-de-metaranking-universitar-20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control" Target="activeX/activeX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edu.ro/printmail/77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hyperlink" Target="http://www.edu.ro/primul-exerci%C8%9Biu-na%C8%9Bional-de-metaranking-universitar-%E2%80%93-2016-concluzii-%C8%99i-recomand%C4%83ri-pentru" TargetMode="External"/><Relationship Id="rId15" Type="http://schemas.openxmlformats.org/officeDocument/2006/relationships/image" Target="media/image6.png"/><Relationship Id="rId10" Type="http://schemas.openxmlformats.org/officeDocument/2006/relationships/hyperlink" Target="javascript:drupalHighContrast.disableStyles(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drupalHighContrast.enableStyles()" TargetMode="External"/><Relationship Id="rId14" Type="http://schemas.openxmlformats.org/officeDocument/2006/relationships/hyperlink" Target="https://www.edu.ro/print/77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Matei</dc:creator>
  <cp:keywords/>
  <dc:description/>
  <cp:lastModifiedBy>Alina Matei</cp:lastModifiedBy>
  <cp:revision>1</cp:revision>
  <dcterms:created xsi:type="dcterms:W3CDTF">2016-11-20T20:41:00Z</dcterms:created>
  <dcterms:modified xsi:type="dcterms:W3CDTF">2016-11-20T20:42:00Z</dcterms:modified>
</cp:coreProperties>
</file>