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D4" w:rsidRPr="0097775F" w:rsidRDefault="003139D4" w:rsidP="003139D4">
      <w:pPr>
        <w:rPr>
          <w:rFonts w:ascii="Calibri" w:hAnsi="Calibri"/>
          <w:lang w:val="ro-RO"/>
        </w:rPr>
      </w:pPr>
    </w:p>
    <w:p w:rsidR="003139D4" w:rsidRPr="0097775F" w:rsidRDefault="003139D4" w:rsidP="003139D4">
      <w:pPr>
        <w:jc w:val="center"/>
        <w:rPr>
          <w:rFonts w:ascii="Calibri" w:hAnsi="Calibri"/>
          <w:b/>
          <w:bCs/>
          <w:i/>
          <w:lang w:val="ro-RO"/>
        </w:rPr>
      </w:pPr>
    </w:p>
    <w:p w:rsidR="003139D4" w:rsidRPr="0097775F" w:rsidRDefault="003139D4" w:rsidP="006B1D0F">
      <w:pPr>
        <w:rPr>
          <w:rFonts w:ascii="Calibri" w:hAnsi="Calibri"/>
          <w:b/>
          <w:bCs/>
          <w:i/>
          <w:lang w:val="ro-RO"/>
        </w:rPr>
      </w:pPr>
    </w:p>
    <w:p w:rsidR="00B420EE" w:rsidRDefault="00B420EE" w:rsidP="003139D4">
      <w:pPr>
        <w:jc w:val="center"/>
        <w:rPr>
          <w:b/>
          <w:bCs/>
          <w:sz w:val="28"/>
          <w:szCs w:val="28"/>
          <w:lang w:val="ro-RO"/>
        </w:rPr>
      </w:pPr>
    </w:p>
    <w:p w:rsidR="00D22678" w:rsidRDefault="00D22678" w:rsidP="003139D4">
      <w:pPr>
        <w:jc w:val="center"/>
        <w:rPr>
          <w:b/>
          <w:bCs/>
          <w:sz w:val="28"/>
          <w:szCs w:val="28"/>
          <w:lang w:val="ro-RO"/>
        </w:rPr>
      </w:pPr>
    </w:p>
    <w:p w:rsidR="003139D4" w:rsidRPr="00713A0A" w:rsidRDefault="003139D4" w:rsidP="003139D4">
      <w:pPr>
        <w:jc w:val="center"/>
        <w:rPr>
          <w:b/>
          <w:bCs/>
          <w:sz w:val="28"/>
          <w:szCs w:val="28"/>
          <w:lang w:val="ro-RO"/>
        </w:rPr>
      </w:pPr>
      <w:r w:rsidRPr="00713A0A">
        <w:rPr>
          <w:b/>
          <w:bCs/>
          <w:sz w:val="28"/>
          <w:szCs w:val="28"/>
          <w:lang w:val="ro-RO"/>
        </w:rPr>
        <w:t>ANUNŢ</w:t>
      </w:r>
    </w:p>
    <w:p w:rsidR="0097775F" w:rsidRPr="00713A0A" w:rsidRDefault="0097775F" w:rsidP="003139D4">
      <w:pPr>
        <w:jc w:val="center"/>
        <w:rPr>
          <w:b/>
          <w:bCs/>
          <w:sz w:val="28"/>
          <w:szCs w:val="28"/>
          <w:lang w:val="ro-RO"/>
        </w:rPr>
      </w:pPr>
    </w:p>
    <w:p w:rsidR="004B102D" w:rsidRDefault="003139D4" w:rsidP="00713A0A">
      <w:pPr>
        <w:ind w:left="360"/>
        <w:jc w:val="center"/>
        <w:rPr>
          <w:b/>
          <w:lang w:val="ro-RO"/>
        </w:rPr>
      </w:pPr>
      <w:r w:rsidRPr="00713A0A">
        <w:rPr>
          <w:b/>
          <w:bCs/>
          <w:lang w:val="ro-RO"/>
        </w:rPr>
        <w:t xml:space="preserve">cu privire la </w:t>
      </w:r>
      <w:r w:rsidR="00631872">
        <w:rPr>
          <w:b/>
          <w:bCs/>
          <w:lang w:val="ro-RO"/>
        </w:rPr>
        <w:t xml:space="preserve">recrutarea </w:t>
      </w:r>
      <w:r w:rsidR="00DC5C0B">
        <w:rPr>
          <w:b/>
          <w:bCs/>
          <w:lang w:val="ro-RO"/>
        </w:rPr>
        <w:t>a 2</w:t>
      </w:r>
      <w:r w:rsidR="00713A0A" w:rsidRPr="00713A0A">
        <w:rPr>
          <w:b/>
          <w:lang w:val="ro-RO"/>
        </w:rPr>
        <w:t xml:space="preserve"> formator</w:t>
      </w:r>
      <w:r w:rsidR="00DC5C0B">
        <w:rPr>
          <w:b/>
          <w:lang w:val="ro-RO"/>
        </w:rPr>
        <w:t>i</w:t>
      </w:r>
      <w:r w:rsidR="00713A0A" w:rsidRPr="00713A0A">
        <w:rPr>
          <w:b/>
          <w:lang w:val="ro-RO"/>
        </w:rPr>
        <w:t xml:space="preserve"> </w:t>
      </w:r>
      <w:r w:rsidR="00631872">
        <w:rPr>
          <w:b/>
          <w:lang w:val="ro-RO"/>
        </w:rPr>
        <w:t>colaborator</w:t>
      </w:r>
      <w:r w:rsidR="00394BAA">
        <w:rPr>
          <w:b/>
          <w:lang w:val="ro-RO"/>
        </w:rPr>
        <w:t>i</w:t>
      </w:r>
    </w:p>
    <w:p w:rsidR="00825E0E" w:rsidRDefault="00587348" w:rsidP="00713A0A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t>la disciplina „</w:t>
      </w:r>
      <w:r w:rsidR="003618D5">
        <w:rPr>
          <w:b/>
          <w:lang w:val="ro-RO"/>
        </w:rPr>
        <w:t>Engleză juridică</w:t>
      </w:r>
      <w:r>
        <w:rPr>
          <w:b/>
          <w:lang w:val="ro-RO"/>
        </w:rPr>
        <w:t xml:space="preserve">” </w:t>
      </w:r>
      <w:r w:rsidR="00825E0E">
        <w:rPr>
          <w:b/>
          <w:lang w:val="ro-RO"/>
        </w:rPr>
        <w:t xml:space="preserve"> </w:t>
      </w:r>
    </w:p>
    <w:p w:rsidR="00713A0A" w:rsidRPr="00713A0A" w:rsidRDefault="00713A0A" w:rsidP="00825E0E">
      <w:pPr>
        <w:ind w:left="360"/>
        <w:jc w:val="center"/>
        <w:rPr>
          <w:b/>
          <w:lang w:val="ro-RO"/>
        </w:rPr>
      </w:pPr>
    </w:p>
    <w:p w:rsidR="0097775F" w:rsidRPr="0097775F" w:rsidRDefault="0097775F" w:rsidP="006B1D0F">
      <w:pPr>
        <w:pStyle w:val="NormalWeb"/>
        <w:spacing w:before="0" w:beforeAutospacing="0" w:after="0" w:afterAutospacing="0"/>
        <w:jc w:val="both"/>
        <w:rPr>
          <w:rFonts w:ascii="Calibri" w:hAnsi="Calibri"/>
          <w:lang w:val="ro-RO"/>
        </w:rPr>
      </w:pPr>
    </w:p>
    <w:p w:rsidR="004B760A" w:rsidRDefault="004B760A" w:rsidP="004B760A">
      <w:pPr>
        <w:spacing w:line="360" w:lineRule="auto"/>
        <w:ind w:firstLine="720"/>
        <w:jc w:val="both"/>
        <w:rPr>
          <w:lang w:val="ro-RO"/>
        </w:rPr>
      </w:pPr>
      <w:r>
        <w:rPr>
          <w:color w:val="000000"/>
          <w:lang w:val="ro-RO"/>
        </w:rPr>
        <w:t xml:space="preserve">INM anunţă reluarea </w:t>
      </w:r>
      <w:r w:rsidRPr="006B1D0F">
        <w:rPr>
          <w:bCs/>
          <w:lang w:val="ro-RO"/>
        </w:rPr>
        <w:t>proceduri</w:t>
      </w:r>
      <w:r w:rsidR="00631872">
        <w:rPr>
          <w:bCs/>
          <w:lang w:val="ro-RO"/>
        </w:rPr>
        <w:t>i</w:t>
      </w:r>
      <w:r w:rsidRPr="006B1D0F">
        <w:rPr>
          <w:bCs/>
          <w:lang w:val="ro-RO"/>
        </w:rPr>
        <w:t xml:space="preserve"> de </w:t>
      </w:r>
      <w:r w:rsidR="00631872">
        <w:rPr>
          <w:bCs/>
          <w:lang w:val="ro-RO"/>
        </w:rPr>
        <w:t xml:space="preserve">selecție pentru recrutarea </w:t>
      </w:r>
      <w:r w:rsidR="00DC5C0B">
        <w:rPr>
          <w:bCs/>
          <w:lang w:val="ro-RO"/>
        </w:rPr>
        <w:t>a 2</w:t>
      </w:r>
      <w:r w:rsidRPr="006B1D0F">
        <w:rPr>
          <w:color w:val="000000"/>
          <w:lang w:val="ro-RO"/>
        </w:rPr>
        <w:t xml:space="preserve"> formator</w:t>
      </w:r>
      <w:r w:rsidR="00DC5C0B">
        <w:rPr>
          <w:color w:val="000000"/>
          <w:lang w:val="ro-RO"/>
        </w:rPr>
        <w:t>i</w:t>
      </w:r>
      <w:r w:rsidRPr="006B1D0F">
        <w:rPr>
          <w:color w:val="000000"/>
          <w:lang w:val="ro-RO"/>
        </w:rPr>
        <w:t xml:space="preserve"> </w:t>
      </w:r>
      <w:r w:rsidR="00587348">
        <w:rPr>
          <w:color w:val="000000"/>
          <w:lang w:val="ro-RO"/>
        </w:rPr>
        <w:t>colaborator</w:t>
      </w:r>
      <w:r w:rsidR="00394BAA">
        <w:rPr>
          <w:color w:val="000000"/>
          <w:lang w:val="ro-RO"/>
        </w:rPr>
        <w:t>i</w:t>
      </w:r>
      <w:r w:rsidRPr="006B1D0F">
        <w:rPr>
          <w:color w:val="000000"/>
          <w:lang w:val="ro-RO"/>
        </w:rPr>
        <w:t xml:space="preserve"> </w:t>
      </w:r>
      <w:r w:rsidRPr="004B2093">
        <w:rPr>
          <w:lang w:val="ro-RO"/>
        </w:rPr>
        <w:t xml:space="preserve">la disciplina </w:t>
      </w:r>
      <w:r w:rsidR="00587348" w:rsidRPr="00D2418C">
        <w:rPr>
          <w:lang w:val="ro-RO"/>
        </w:rPr>
        <w:t>„</w:t>
      </w:r>
      <w:r w:rsidR="003618D5">
        <w:rPr>
          <w:lang w:val="ro-RO"/>
        </w:rPr>
        <w:t>Engleză juridică</w:t>
      </w:r>
      <w:r w:rsidR="00587348" w:rsidRPr="00D2418C">
        <w:rPr>
          <w:lang w:val="ro-RO"/>
        </w:rPr>
        <w:t>”</w:t>
      </w:r>
      <w:r w:rsidR="00587348">
        <w:rPr>
          <w:lang w:val="ro-RO"/>
        </w:rPr>
        <w:t xml:space="preserve"> </w:t>
      </w:r>
      <w:r w:rsidRPr="006B1D0F">
        <w:rPr>
          <w:lang w:val="ro-RO"/>
        </w:rPr>
        <w:t>în cad</w:t>
      </w:r>
      <w:r w:rsidR="00587348">
        <w:rPr>
          <w:lang w:val="ro-RO"/>
        </w:rPr>
        <w:t>rul Departamentului de formare iniţială</w:t>
      </w:r>
      <w:r w:rsidRPr="006B1D0F">
        <w:rPr>
          <w:lang w:val="ro-RO"/>
        </w:rPr>
        <w:t>.</w:t>
      </w:r>
    </w:p>
    <w:p w:rsidR="00AA693A" w:rsidRPr="006B1D0F" w:rsidRDefault="00AA693A" w:rsidP="004B760A">
      <w:pPr>
        <w:spacing w:line="360" w:lineRule="auto"/>
        <w:ind w:firstLine="720"/>
        <w:jc w:val="both"/>
        <w:rPr>
          <w:lang w:val="ro-RO"/>
        </w:rPr>
      </w:pPr>
    </w:p>
    <w:p w:rsidR="00394BAA" w:rsidRDefault="004B102D" w:rsidP="00394BAA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P</w:t>
      </w:r>
      <w:r w:rsidR="004B760A" w:rsidRPr="00713A0A">
        <w:rPr>
          <w:lang w:val="ro-RO"/>
        </w:rPr>
        <w:t xml:space="preserve">ersonalul de instruire al INM este selectat cu preponderenţă din rândul magistraţilor, </w:t>
      </w:r>
      <w:r w:rsidR="004B760A">
        <w:rPr>
          <w:lang w:val="ro-RO"/>
        </w:rPr>
        <w:t>în urma</w:t>
      </w:r>
      <w:r w:rsidR="004B760A" w:rsidRPr="00713A0A">
        <w:rPr>
          <w:lang w:val="ro-RO"/>
        </w:rPr>
        <w:t xml:space="preserve"> unei proceduri transparente, pe baza cunoştinţelor în domeniul respectiv şi a aptitudinilor didactice, cu respectarea principiilor şi obiectivelor activităţilor de formare a judecătorilor şi procurorilor prevăzute de legi, regulamente şi documente strategice ale INM</w:t>
      </w:r>
      <w:r w:rsidR="004B760A">
        <w:rPr>
          <w:lang w:val="ro-RO"/>
        </w:rPr>
        <w:t xml:space="preserve"> </w:t>
      </w:r>
      <w:r w:rsidR="00394BAA" w:rsidRPr="0093193E">
        <w:rPr>
          <w:i/>
          <w:lang w:val="ro-RO"/>
        </w:rPr>
        <w:t>(</w:t>
      </w:r>
      <w:r w:rsidR="00394BAA" w:rsidRPr="00587348">
        <w:rPr>
          <w:i/>
          <w:lang w:val="ro-RO"/>
        </w:rPr>
        <w:t>art. 108 alin 1 din Legea nr. 304/2004 privind organizarea judiciară cu modificările şi completările ulterioare, art. 1 alin 1 şi art. 3 din Statutul personalului de instruire al Institutului Naţional al Magistraturii aprobat de Plenul Consiliului Superior al Magistraturii prin Hotărârea nr.531/19.06.2012</w:t>
      </w:r>
      <w:r w:rsidR="00394BAA">
        <w:rPr>
          <w:i/>
          <w:lang w:val="ro-RO"/>
        </w:rPr>
        <w:t xml:space="preserve">, </w:t>
      </w:r>
      <w:r w:rsidR="00394BAA" w:rsidRPr="0093193E">
        <w:rPr>
          <w:i/>
          <w:lang w:val="ro-RO"/>
        </w:rPr>
        <w:t>modificat și completat prin Hotărârea</w:t>
      </w:r>
      <w:r w:rsidR="00394BAA">
        <w:rPr>
          <w:i/>
          <w:lang w:val="ro-RO"/>
        </w:rPr>
        <w:t xml:space="preserve"> CSM nr.71 din 21 ianuarie 2016)</w:t>
      </w:r>
      <w:r w:rsidR="00394BAA" w:rsidRPr="0093193E">
        <w:rPr>
          <w:i/>
          <w:lang w:val="ro-RO"/>
        </w:rPr>
        <w:t>.</w:t>
      </w:r>
    </w:p>
    <w:p w:rsidR="00F8751F" w:rsidRDefault="00F8751F" w:rsidP="00394BAA">
      <w:pPr>
        <w:spacing w:line="360" w:lineRule="auto"/>
        <w:jc w:val="both"/>
        <w:rPr>
          <w:bCs/>
          <w:lang w:val="ro-RO"/>
        </w:rPr>
      </w:pPr>
    </w:p>
    <w:p w:rsidR="003E4C57" w:rsidRPr="003E4C57" w:rsidRDefault="00614313" w:rsidP="003E4C57">
      <w:pPr>
        <w:spacing w:line="360" w:lineRule="auto"/>
        <w:ind w:firstLine="720"/>
        <w:jc w:val="both"/>
        <w:rPr>
          <w:bCs/>
          <w:lang w:val="ro-RO"/>
        </w:rPr>
      </w:pPr>
      <w:r w:rsidRPr="00713A0A">
        <w:rPr>
          <w:bCs/>
          <w:lang w:val="ro-RO"/>
        </w:rPr>
        <w:t xml:space="preserve">Personalul de instruire al INM îşi desfăşoară activitatea specifică de formare în cadrul INM, cu respectarea următoarelor </w:t>
      </w:r>
      <w:r w:rsidRPr="00D22678">
        <w:rPr>
          <w:bCs/>
          <w:lang w:val="ro-RO"/>
        </w:rPr>
        <w:t>standarde profesionale</w:t>
      </w:r>
      <w:r w:rsidR="00EA1049">
        <w:rPr>
          <w:bCs/>
          <w:lang w:val="ro-RO"/>
        </w:rPr>
        <w:t xml:space="preserve"> (</w:t>
      </w:r>
      <w:r w:rsidR="00EA1049" w:rsidRPr="00587348">
        <w:rPr>
          <w:bCs/>
          <w:i/>
          <w:lang w:val="ro-RO"/>
        </w:rPr>
        <w:t>potrivit art.4 din Statut</w:t>
      </w:r>
      <w:r w:rsidR="00EA1049">
        <w:rPr>
          <w:bCs/>
          <w:lang w:val="ro-RO"/>
        </w:rPr>
        <w:t>)</w:t>
      </w:r>
      <w:r w:rsidRPr="00713A0A">
        <w:rPr>
          <w:b/>
          <w:bCs/>
          <w:lang w:val="ro-RO"/>
        </w:rPr>
        <w:t>:</w:t>
      </w:r>
      <w:r w:rsidRPr="00713A0A">
        <w:rPr>
          <w:bCs/>
          <w:lang w:val="ro-RO"/>
        </w:rPr>
        <w:t xml:space="preserve"> 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a-şi asuma rolul de formare a judecătorilor şi procurorilor;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 evalua nivelul cunoştinţelor si aptitudinilor participanţilor la formare;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 stabili scopuri, de a formula obiective şi planuri şi programe de studiu;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 proiecta sesiuni de formare si de a facilita învăţarea activă;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 identifica şi de a selecta metodologia de formare adecvată;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cunoaşterea de metode si abordări privind desfăşurarea activităţii de formare;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Cs/>
          <w:lang w:val="ro-RO"/>
        </w:rPr>
      </w:pPr>
      <w:r w:rsidRPr="00713A0A">
        <w:rPr>
          <w:bCs/>
          <w:lang w:val="ro-RO"/>
        </w:rPr>
        <w:t>capacitatea de a elabora şi de a utiliza materiale de referinţă pentru sesiunea de formare;</w:t>
      </w:r>
    </w:p>
    <w:p w:rsidR="00614313" w:rsidRPr="00713A0A" w:rsidRDefault="00614313" w:rsidP="00614313">
      <w:pPr>
        <w:numPr>
          <w:ilvl w:val="0"/>
          <w:numId w:val="7"/>
        </w:numPr>
        <w:spacing w:line="360" w:lineRule="auto"/>
        <w:jc w:val="both"/>
        <w:rPr>
          <w:b/>
          <w:bCs/>
          <w:lang w:val="ro-RO"/>
        </w:rPr>
      </w:pPr>
      <w:r w:rsidRPr="00713A0A">
        <w:rPr>
          <w:bCs/>
          <w:lang w:val="ro-RO"/>
        </w:rPr>
        <w:t>abilitatea de a organiza mediul de învăţare.</w:t>
      </w:r>
    </w:p>
    <w:p w:rsidR="00614313" w:rsidRDefault="00614313" w:rsidP="0061431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3618D5" w:rsidRPr="003618D5" w:rsidRDefault="00587348" w:rsidP="003618D5">
      <w:pPr>
        <w:spacing w:line="360" w:lineRule="auto"/>
        <w:ind w:firstLine="720"/>
        <w:jc w:val="both"/>
        <w:rPr>
          <w:bCs/>
          <w:lang w:val="ro-RO"/>
        </w:rPr>
      </w:pPr>
      <w:r w:rsidRPr="003618D5">
        <w:rPr>
          <w:bCs/>
          <w:lang w:val="ro-RO"/>
        </w:rPr>
        <w:t xml:space="preserve">Cerinţa specifică </w:t>
      </w:r>
      <w:r w:rsidR="00D2418C" w:rsidRPr="003618D5">
        <w:rPr>
          <w:bCs/>
          <w:lang w:val="ro-RO"/>
        </w:rPr>
        <w:t xml:space="preserve">privind </w:t>
      </w:r>
      <w:r w:rsidR="00DC5C0B">
        <w:rPr>
          <w:bCs/>
          <w:lang w:val="ro-RO"/>
        </w:rPr>
        <w:t>posturile</w:t>
      </w:r>
      <w:r w:rsidR="00D2418C" w:rsidRPr="003618D5">
        <w:rPr>
          <w:bCs/>
          <w:lang w:val="ro-RO"/>
        </w:rPr>
        <w:t xml:space="preserve"> de formator</w:t>
      </w:r>
      <w:r w:rsidR="00DC5C0B">
        <w:rPr>
          <w:bCs/>
          <w:lang w:val="ro-RO"/>
        </w:rPr>
        <w:t>i</w:t>
      </w:r>
      <w:r w:rsidR="00D2418C" w:rsidRPr="003618D5">
        <w:rPr>
          <w:bCs/>
          <w:lang w:val="ro-RO"/>
        </w:rPr>
        <w:t xml:space="preserve"> colaborator</w:t>
      </w:r>
      <w:r w:rsidR="00DC5C0B">
        <w:rPr>
          <w:bCs/>
          <w:lang w:val="ro-RO"/>
        </w:rPr>
        <w:t>i</w:t>
      </w:r>
      <w:r w:rsidR="00D2418C" w:rsidRPr="003618D5">
        <w:rPr>
          <w:bCs/>
          <w:lang w:val="ro-RO"/>
        </w:rPr>
        <w:t xml:space="preserve"> s</w:t>
      </w:r>
      <w:r w:rsidR="00273797" w:rsidRPr="003618D5">
        <w:rPr>
          <w:bCs/>
          <w:lang w:val="ro-RO"/>
        </w:rPr>
        <w:t>co</w:t>
      </w:r>
      <w:r w:rsidR="00DC5C0B">
        <w:rPr>
          <w:bCs/>
          <w:lang w:val="ro-RO"/>
        </w:rPr>
        <w:t>a</w:t>
      </w:r>
      <w:r w:rsidR="00273797" w:rsidRPr="003618D5">
        <w:rPr>
          <w:bCs/>
          <w:lang w:val="ro-RO"/>
        </w:rPr>
        <w:t>s</w:t>
      </w:r>
      <w:r w:rsidR="00DC5C0B">
        <w:rPr>
          <w:bCs/>
          <w:lang w:val="ro-RO"/>
        </w:rPr>
        <w:t>e</w:t>
      </w:r>
      <w:r w:rsidR="00D2418C" w:rsidRPr="003618D5">
        <w:rPr>
          <w:bCs/>
          <w:lang w:val="ro-RO"/>
        </w:rPr>
        <w:t xml:space="preserve"> la concurs</w:t>
      </w:r>
      <w:r w:rsidRPr="003618D5">
        <w:rPr>
          <w:bCs/>
          <w:lang w:val="ro-RO"/>
        </w:rPr>
        <w:t xml:space="preserve">, aprobată de Consiliul ştiinţific al INM, este ca recrutarea să se realizeze </w:t>
      </w:r>
      <w:r w:rsidR="003618D5" w:rsidRPr="003618D5">
        <w:rPr>
          <w:bCs/>
          <w:lang w:val="ro-RO"/>
        </w:rPr>
        <w:t>din rândul specialiştilor în limba engleză juridică, justificată de necesităţile de formare a auditorilor de justiţie în acest domeniu.</w:t>
      </w:r>
    </w:p>
    <w:p w:rsidR="003618D5" w:rsidRPr="00713A0A" w:rsidRDefault="003618D5" w:rsidP="003618D5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</w:p>
    <w:p w:rsidR="00614313" w:rsidRPr="00D2418C" w:rsidRDefault="00614313" w:rsidP="00614313">
      <w:pPr>
        <w:tabs>
          <w:tab w:val="left" w:pos="720"/>
        </w:tabs>
        <w:spacing w:line="360" w:lineRule="auto"/>
        <w:jc w:val="both"/>
        <w:rPr>
          <w:b/>
          <w:bCs/>
          <w:lang w:val="ro-RO"/>
        </w:rPr>
      </w:pPr>
      <w:r>
        <w:rPr>
          <w:rFonts w:ascii="Calibri" w:hAnsi="Calibri" w:cs="Arial"/>
          <w:b/>
          <w:iCs/>
          <w:lang w:val="ro-RO"/>
        </w:rPr>
        <w:tab/>
      </w:r>
      <w:r w:rsidRPr="00D22678">
        <w:rPr>
          <w:iCs/>
          <w:lang w:val="ro-RO"/>
        </w:rPr>
        <w:t>Atribuţiile</w:t>
      </w:r>
      <w:r w:rsidRPr="00D22678">
        <w:rPr>
          <w:lang w:val="ro-RO"/>
        </w:rPr>
        <w:t xml:space="preserve"> generale ale personalului de instruire</w:t>
      </w:r>
      <w:r w:rsidRPr="007E5CB3">
        <w:rPr>
          <w:lang w:val="ro-RO"/>
        </w:rPr>
        <w:t xml:space="preserve"> sunt</w:t>
      </w:r>
      <w:r w:rsidR="00EA1049" w:rsidRPr="00EA1049">
        <w:rPr>
          <w:bCs/>
          <w:i/>
          <w:color w:val="FF0000"/>
          <w:lang w:val="ro-RO"/>
        </w:rPr>
        <w:t xml:space="preserve"> </w:t>
      </w:r>
      <w:r w:rsidR="00EA1049">
        <w:rPr>
          <w:bCs/>
          <w:i/>
          <w:color w:val="FF0000"/>
          <w:lang w:val="ro-RO"/>
        </w:rPr>
        <w:t xml:space="preserve"> </w:t>
      </w:r>
      <w:r w:rsidR="00EA1049" w:rsidRPr="00D2418C">
        <w:rPr>
          <w:bCs/>
          <w:i/>
          <w:lang w:val="ro-RO"/>
        </w:rPr>
        <w:t>(potrivit art.9 din Statut)</w:t>
      </w:r>
      <w:r w:rsidRPr="00D2418C">
        <w:rPr>
          <w:lang w:val="ro-RO"/>
        </w:rPr>
        <w:t>: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left="360"/>
        <w:jc w:val="both"/>
        <w:rPr>
          <w:lang w:val="ro-RO"/>
        </w:rPr>
      </w:pPr>
      <w:r w:rsidRPr="007E5CB3">
        <w:rPr>
          <w:lang w:val="ro-RO"/>
        </w:rPr>
        <w:t>a) evaluarea nevoilor de formare în cadrul formării iniţiale sau continue, după caz;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lastRenderedPageBreak/>
        <w:t>b) elaborarea şi dezvoltarea programelor de studiu, respectiv elaborarea tematicii şi contribuţia la elaborarea şi dezvoltarea programului de formare, în cadrul formării iniţiale;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t xml:space="preserve">c) elaborarea tematicii şi contribuţia la elaborarea planului de formare continuă, în cadrul formării continue; 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t xml:space="preserve">d) susţinerea de seminarii şi conferinţe în cadrul activităţii de formare iniţială sau continuă, după caz; 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t xml:space="preserve">e) dezvoltarea metodologiei de examinare, notare şi evaluare a auditorilor de justiţie, pentru personalul de instruire implicat în activitatea de formare iniţială; 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t>f) coordonarea, îndrumarea şi supravegherea auditorilor de justiţie pe parcursul stagiului efectuat în cadrul instanţelor şi parchetelor, conform programului de stagiu aprobat de CSM, pentru coordonatorii de practică;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it-IT"/>
        </w:rPr>
      </w:pPr>
      <w:r w:rsidRPr="007E5CB3">
        <w:rPr>
          <w:lang w:val="it-IT"/>
        </w:rPr>
        <w:t xml:space="preserve">g) </w:t>
      </w:r>
      <w:r w:rsidRPr="007E5CB3">
        <w:rPr>
          <w:lang w:val="ro-RO"/>
        </w:rPr>
        <w:t>pregătirea ştiinţifică individuală permanentă</w:t>
      </w:r>
      <w:r w:rsidRPr="007E5CB3">
        <w:rPr>
          <w:lang w:val="it-IT"/>
        </w:rPr>
        <w:t xml:space="preserve"> prin perfecţionarea continuă în domeniul de competenţă şi al tehnicilor moderne de predare;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it-IT"/>
        </w:rPr>
      </w:pPr>
      <w:r w:rsidRPr="007E5CB3">
        <w:rPr>
          <w:lang w:val="it-IT"/>
        </w:rPr>
        <w:t xml:space="preserve">h) </w:t>
      </w:r>
      <w:r w:rsidRPr="007E5CB3">
        <w:rPr>
          <w:lang w:val="ro-RO"/>
        </w:rPr>
        <w:t>elaborarea de materiale didactice / de studiu (suporturi de curs, caiete de seminar, ghiduri de bune practici, etc.);</w:t>
      </w:r>
      <w:r w:rsidRPr="007E5CB3">
        <w:rPr>
          <w:lang w:val="it-IT"/>
        </w:rPr>
        <w:t xml:space="preserve"> 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it-IT"/>
        </w:rPr>
      </w:pPr>
      <w:r w:rsidRPr="007E5CB3">
        <w:rPr>
          <w:lang w:val="it-IT"/>
        </w:rPr>
        <w:t>i) participarea la activităţi, programe şi proiecte naţionale şi internaţionale care privesc dezvoltarea instituţională;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o-RO"/>
        </w:rPr>
      </w:pPr>
      <w:r w:rsidRPr="007E5CB3">
        <w:rPr>
          <w:lang w:val="ro-RO"/>
        </w:rPr>
        <w:t>j) participarea în comisiile de elaborare a subiectelor, de corectare a lucrărilor, respectiv a caietelor de practică şi de soluţionare a contestaţiilor la examenele şi concursurile organizate de INM şi CSM;</w:t>
      </w:r>
    </w:p>
    <w:p w:rsidR="00614313" w:rsidRPr="007E5CB3" w:rsidRDefault="00614313" w:rsidP="00614313">
      <w:pPr>
        <w:pStyle w:val="NormalWeb"/>
        <w:spacing w:before="0" w:beforeAutospacing="0" w:after="0" w:afterAutospacing="0" w:line="360" w:lineRule="auto"/>
        <w:ind w:left="360"/>
        <w:jc w:val="both"/>
        <w:rPr>
          <w:lang w:val="ro-RO"/>
        </w:rPr>
      </w:pPr>
      <w:r w:rsidRPr="007E5CB3">
        <w:rPr>
          <w:lang w:val="ro-RO"/>
        </w:rPr>
        <w:t>k) orice alte  atribuţii stabilite prin lege, regulamente sau prin hotărâre a Consiliului ştiinţific.</w:t>
      </w:r>
    </w:p>
    <w:p w:rsidR="00614313" w:rsidRPr="0097775F" w:rsidRDefault="00614313" w:rsidP="00614313">
      <w:pPr>
        <w:pStyle w:val="NormalWeb"/>
        <w:spacing w:before="0" w:beforeAutospacing="0" w:after="0" w:afterAutospacing="0"/>
        <w:ind w:firstLine="180"/>
        <w:jc w:val="both"/>
        <w:rPr>
          <w:rFonts w:ascii="Calibri" w:hAnsi="Calibri"/>
          <w:lang w:val="ro-RO"/>
        </w:rPr>
      </w:pPr>
    </w:p>
    <w:p w:rsidR="00614313" w:rsidRDefault="00614313" w:rsidP="00587348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 w:rsidRPr="007E5CB3">
        <w:rPr>
          <w:lang w:val="ro-RO"/>
        </w:rPr>
        <w:t xml:space="preserve">Drepturile şi îndatoririle personalului de instruire al INM sunt cele prevăzute în </w:t>
      </w:r>
      <w:r w:rsidRPr="00587348">
        <w:rPr>
          <w:lang w:val="ro-RO"/>
        </w:rPr>
        <w:t xml:space="preserve">Capitolul IV din Statutul personalului de instruire al </w:t>
      </w:r>
      <w:r w:rsidR="00D22678" w:rsidRPr="00587348">
        <w:rPr>
          <w:lang w:val="ro-RO"/>
        </w:rPr>
        <w:t>INM</w:t>
      </w:r>
      <w:r w:rsidRPr="00587348">
        <w:rPr>
          <w:b/>
          <w:lang w:val="ro-RO"/>
        </w:rPr>
        <w:t>.</w:t>
      </w:r>
    </w:p>
    <w:p w:rsidR="00F8751F" w:rsidRPr="0097775F" w:rsidRDefault="00DF70E7" w:rsidP="00F8751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lang w:val="ro-RO"/>
        </w:rPr>
      </w:pPr>
      <w:r>
        <w:rPr>
          <w:lang w:val="ro-RO"/>
        </w:rPr>
        <w:t>Remunerarea</w:t>
      </w:r>
      <w:r w:rsidR="00F8751F" w:rsidRPr="00F8751F">
        <w:rPr>
          <w:lang w:val="ro-RO"/>
        </w:rPr>
        <w:t xml:space="preserve"> se face în raport de numărul de ore de formare efectuate lunar, în conformitate cu dispoziţiile legale cuprinse în art. 108 alin. (3) din Legea nr. 304/2004 privind organizarea judiciară, coroborate cu dispoziţiile art. 287 alin. (3) din Legea educaţiei naţionale nr. 1/2011, norma didactică neputând depăşi 16 ore convenţionale pe săptămână</w:t>
      </w:r>
      <w:r w:rsidR="00F8751F" w:rsidRPr="0097775F">
        <w:rPr>
          <w:rFonts w:ascii="Calibri" w:hAnsi="Calibri"/>
          <w:lang w:val="ro-RO"/>
        </w:rPr>
        <w:t xml:space="preserve">. </w:t>
      </w:r>
    </w:p>
    <w:p w:rsidR="00587348" w:rsidRDefault="00587348" w:rsidP="0058734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:rsidR="005D42F9" w:rsidRPr="007E5CB3" w:rsidRDefault="005D42F9" w:rsidP="007E5CB3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 w:rsidRPr="006B1D0F">
        <w:rPr>
          <w:lang w:val="ro-RO"/>
        </w:rPr>
        <w:t>Dosarul de înscriere</w:t>
      </w:r>
      <w:r w:rsidRPr="007E5CB3">
        <w:rPr>
          <w:lang w:val="ro-RO"/>
        </w:rPr>
        <w:t xml:space="preserve"> la concurs va conţine următoarele documente:</w:t>
      </w:r>
    </w:p>
    <w:p w:rsidR="005D42F9" w:rsidRPr="007E5CB3" w:rsidRDefault="005D42F9" w:rsidP="007E5CB3">
      <w:pPr>
        <w:pStyle w:val="NormalWeb"/>
        <w:numPr>
          <w:ilvl w:val="4"/>
          <w:numId w:val="4"/>
        </w:numPr>
        <w:tabs>
          <w:tab w:val="clear" w:pos="3960"/>
          <w:tab w:val="left" w:pos="360"/>
        </w:tabs>
        <w:spacing w:before="0" w:beforeAutospacing="0" w:after="0" w:afterAutospacing="0" w:line="360" w:lineRule="auto"/>
        <w:ind w:left="2520" w:hanging="1200"/>
        <w:jc w:val="both"/>
        <w:rPr>
          <w:lang w:val="ro-RO"/>
        </w:rPr>
      </w:pPr>
      <w:r w:rsidRPr="007E5CB3">
        <w:rPr>
          <w:lang w:val="ro-RO"/>
        </w:rPr>
        <w:t>curriculum vitae;</w:t>
      </w:r>
    </w:p>
    <w:p w:rsidR="005D42F9" w:rsidRPr="007E5CB3" w:rsidRDefault="005D42F9" w:rsidP="007E5CB3">
      <w:pPr>
        <w:pStyle w:val="NormalWeb"/>
        <w:numPr>
          <w:ilvl w:val="4"/>
          <w:numId w:val="4"/>
        </w:numPr>
        <w:tabs>
          <w:tab w:val="clear" w:pos="3960"/>
          <w:tab w:val="left" w:pos="360"/>
        </w:tabs>
        <w:spacing w:before="0" w:beforeAutospacing="0" w:after="0" w:afterAutospacing="0" w:line="360" w:lineRule="auto"/>
        <w:ind w:left="2520" w:hanging="1200"/>
        <w:jc w:val="both"/>
        <w:rPr>
          <w:lang w:val="ro-RO"/>
        </w:rPr>
      </w:pPr>
      <w:r w:rsidRPr="007E5CB3">
        <w:rPr>
          <w:lang w:val="ro-RO"/>
        </w:rPr>
        <w:t>scrisoare de intenţie;</w:t>
      </w:r>
    </w:p>
    <w:p w:rsidR="00B710C2" w:rsidRDefault="005D42F9" w:rsidP="007E5CB3">
      <w:pPr>
        <w:pStyle w:val="NormalWeb"/>
        <w:numPr>
          <w:ilvl w:val="4"/>
          <w:numId w:val="4"/>
        </w:numPr>
        <w:tabs>
          <w:tab w:val="clear" w:pos="3960"/>
          <w:tab w:val="left" w:pos="360"/>
        </w:tabs>
        <w:spacing w:before="0" w:beforeAutospacing="0" w:after="0" w:afterAutospacing="0" w:line="360" w:lineRule="auto"/>
        <w:ind w:left="360" w:firstLine="960"/>
        <w:jc w:val="both"/>
        <w:rPr>
          <w:lang w:val="ro-RO"/>
        </w:rPr>
      </w:pPr>
      <w:r w:rsidRPr="00496671">
        <w:rPr>
          <w:lang w:val="ro-RO"/>
        </w:rPr>
        <w:t>plan de seminar</w:t>
      </w:r>
      <w:r w:rsidR="00394BAA">
        <w:rPr>
          <w:lang w:val="ro-RO"/>
        </w:rPr>
        <w:t>;</w:t>
      </w:r>
    </w:p>
    <w:p w:rsidR="00394BAA" w:rsidRPr="0065381A" w:rsidRDefault="00394BAA" w:rsidP="00394BAA">
      <w:pPr>
        <w:pStyle w:val="NormalWeb"/>
        <w:numPr>
          <w:ilvl w:val="4"/>
          <w:numId w:val="4"/>
        </w:numPr>
        <w:tabs>
          <w:tab w:val="clear" w:pos="3960"/>
          <w:tab w:val="left" w:pos="360"/>
        </w:tabs>
        <w:spacing w:before="0" w:beforeAutospacing="0" w:after="0" w:afterAutospacing="0" w:line="360" w:lineRule="auto"/>
        <w:ind w:left="360" w:firstLine="960"/>
        <w:jc w:val="both"/>
        <w:rPr>
          <w:lang w:val="ro-RO"/>
        </w:rPr>
      </w:pPr>
      <w:r w:rsidRPr="0065381A">
        <w:rPr>
          <w:lang w:val="ro-RO"/>
        </w:rPr>
        <w:t>o declaraţie pe proprie răspundere cu privire la inexistenţa oricărui motiv care l-ar face incompatibil, potrivit Statutului, cu exercitarea calităţii de formator.</w:t>
      </w:r>
    </w:p>
    <w:p w:rsidR="00394BAA" w:rsidRPr="0065381A" w:rsidRDefault="00394BAA" w:rsidP="00394BAA">
      <w:pPr>
        <w:pStyle w:val="NormalWeb"/>
        <w:spacing w:before="0" w:beforeAutospacing="0" w:after="0" w:afterAutospacing="0" w:line="360" w:lineRule="auto"/>
        <w:jc w:val="both"/>
        <w:rPr>
          <w:i/>
          <w:lang w:val="ro-RO"/>
        </w:rPr>
      </w:pPr>
    </w:p>
    <w:p w:rsidR="00394BAA" w:rsidRPr="0065381A" w:rsidRDefault="004E73D6" w:rsidP="00394BAA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65381A">
        <w:rPr>
          <w:lang w:val="ro-RO"/>
        </w:rPr>
        <w:lastRenderedPageBreak/>
        <w:t xml:space="preserve">Ulterior depunerii candidaturii, </w:t>
      </w:r>
      <w:r w:rsidR="00394BAA" w:rsidRPr="0065381A">
        <w:rPr>
          <w:lang w:val="ro-RO"/>
        </w:rPr>
        <w:t>Institutul Național al Magistraturii va solicita colegiului de conducere al instanţei sau parchetului unde candidatul îşi desfăşoară activitatea date privind activitatea profesională a acestuia, precum și conduita sa în cadrul instanței sau parchetului. Pentru candidaţii care nu desfăşoară activitatea într-o instanţă sau parchet, datele sunt solicitate de la actualul loc de muncă.</w:t>
      </w:r>
    </w:p>
    <w:p w:rsidR="007E5CB3" w:rsidRPr="007E5CB3" w:rsidRDefault="007E5CB3" w:rsidP="007E5CB3">
      <w:pPr>
        <w:pStyle w:val="NormalWeb"/>
        <w:tabs>
          <w:tab w:val="left" w:pos="360"/>
        </w:tabs>
        <w:spacing w:before="0" w:beforeAutospacing="0" w:after="0" w:afterAutospacing="0"/>
        <w:ind w:left="360"/>
        <w:jc w:val="both"/>
        <w:rPr>
          <w:b/>
          <w:lang w:val="ro-RO"/>
        </w:rPr>
      </w:pPr>
    </w:p>
    <w:p w:rsidR="00F8751F" w:rsidRPr="00F8751F" w:rsidRDefault="00F8751F" w:rsidP="00F8751F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F8751F">
        <w:rPr>
          <w:lang w:val="ro-RO"/>
        </w:rPr>
        <w:t xml:space="preserve">Etapele şi criteriile de evaluare aplicabile în cadrul procedurii de recrutare sunt cele prevăzute </w:t>
      </w:r>
      <w:r>
        <w:rPr>
          <w:lang w:val="ro-RO"/>
        </w:rPr>
        <w:t>la art.15 şi urm. din Capitolul III – Recrutarea personalului de instruire – di</w:t>
      </w:r>
      <w:r w:rsidRPr="00F8751F">
        <w:rPr>
          <w:lang w:val="ro-RO"/>
        </w:rPr>
        <w:t>n „Statutul personalului de instruire al Institutu</w:t>
      </w:r>
      <w:r w:rsidR="00696D7F">
        <w:rPr>
          <w:lang w:val="ro-RO"/>
        </w:rPr>
        <w:t>lui Naţional al Magistraturii”</w:t>
      </w:r>
      <w:r w:rsidRPr="00F8751F">
        <w:rPr>
          <w:lang w:val="ro-RO"/>
        </w:rPr>
        <w:t xml:space="preserve">, </w:t>
      </w:r>
      <w:r w:rsidR="00696D7F">
        <w:rPr>
          <w:lang w:val="ro-RO"/>
        </w:rPr>
        <w:t>publicat</w:t>
      </w:r>
      <w:r>
        <w:rPr>
          <w:lang w:val="ro-RO"/>
        </w:rPr>
        <w:t xml:space="preserve"> pe site-ul INM </w:t>
      </w:r>
      <w:r w:rsidR="00394BAA">
        <w:rPr>
          <w:lang w:val="ro-RO"/>
        </w:rPr>
        <w:t>(</w:t>
      </w:r>
      <w:r w:rsidR="00394BAA" w:rsidRPr="0093193E">
        <w:rPr>
          <w:u w:val="single"/>
          <w:lang w:val="ro-RO"/>
        </w:rPr>
        <w:t>http://www.inm-lex.ro/displaypage.php?p=137&amp;d=187</w:t>
      </w:r>
      <w:r w:rsidR="00394BAA">
        <w:rPr>
          <w:lang w:val="ro-RO"/>
        </w:rPr>
        <w:t>)</w:t>
      </w:r>
      <w:r w:rsidR="00696D7F">
        <w:rPr>
          <w:lang w:val="ro-RO"/>
        </w:rPr>
        <w:t>.</w:t>
      </w:r>
    </w:p>
    <w:p w:rsidR="00F8751F" w:rsidRDefault="00F8751F" w:rsidP="007E5CB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:rsidR="005D42F9" w:rsidRPr="0032347A" w:rsidRDefault="005D42F9" w:rsidP="00D2418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6B1D0F">
        <w:rPr>
          <w:lang w:val="ro-RO"/>
        </w:rPr>
        <w:t xml:space="preserve">Dosarul de înscriere se va depune până la data </w:t>
      </w:r>
      <w:r w:rsidRPr="004E73D6">
        <w:rPr>
          <w:lang w:val="ro-RO"/>
        </w:rPr>
        <w:t xml:space="preserve">de </w:t>
      </w:r>
      <w:r w:rsidR="00DE4997">
        <w:rPr>
          <w:b/>
          <w:lang w:val="ro-RO"/>
        </w:rPr>
        <w:t>12</w:t>
      </w:r>
      <w:r w:rsidR="00394BAA" w:rsidRPr="0065381A">
        <w:rPr>
          <w:b/>
          <w:lang w:val="ro-RO"/>
        </w:rPr>
        <w:t xml:space="preserve"> </w:t>
      </w:r>
      <w:r w:rsidR="00DE4997">
        <w:rPr>
          <w:b/>
          <w:lang w:val="ro-RO"/>
        </w:rPr>
        <w:t>iunie</w:t>
      </w:r>
      <w:r w:rsidR="00394BAA" w:rsidRPr="0065381A">
        <w:rPr>
          <w:b/>
          <w:lang w:val="ro-RO"/>
        </w:rPr>
        <w:t xml:space="preserve"> 201</w:t>
      </w:r>
      <w:r w:rsidR="00DE4997">
        <w:rPr>
          <w:b/>
          <w:lang w:val="ro-RO"/>
        </w:rPr>
        <w:t>7</w:t>
      </w:r>
      <w:r w:rsidR="00B710C2" w:rsidRPr="0065381A">
        <w:rPr>
          <w:lang w:val="ro-RO"/>
        </w:rPr>
        <w:t>,</w:t>
      </w:r>
      <w:r w:rsidRPr="006B1D0F">
        <w:rPr>
          <w:lang w:val="ro-RO"/>
        </w:rPr>
        <w:t xml:space="preserve"> la sediul INM din Bulevardul Regina Elisabeta nr. 53, sector 5, Bucureşti, la numărul de fax 021.311.02.34, sau pe adresa de e-mail</w:t>
      </w:r>
      <w:r w:rsidR="00B26442">
        <w:rPr>
          <w:lang w:val="ro-RO"/>
        </w:rPr>
        <w:t>:</w:t>
      </w:r>
      <w:r w:rsidRPr="006B1D0F">
        <w:rPr>
          <w:lang w:val="ro-RO"/>
        </w:rPr>
        <w:t xml:space="preserve"> </w:t>
      </w:r>
      <w:hyperlink r:id="rId7" w:history="1">
        <w:r w:rsidR="00F6386C" w:rsidRPr="0032347A">
          <w:rPr>
            <w:rStyle w:val="Hyperlink"/>
            <w:rFonts w:ascii="Times New Roman" w:hAnsi="Times New Roman" w:cs="Times New Roman"/>
            <w:color w:val="auto"/>
            <w:lang w:val="ro-RO"/>
          </w:rPr>
          <w:t>ruxandra.ana@inm-lex.ro</w:t>
        </w:r>
      </w:hyperlink>
      <w:r w:rsidRPr="0032347A">
        <w:rPr>
          <w:lang w:val="ro-RO"/>
        </w:rPr>
        <w:t>.</w:t>
      </w:r>
    </w:p>
    <w:p w:rsidR="005D42F9" w:rsidRDefault="005D42F9" w:rsidP="00005AF1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ro-RO"/>
        </w:rPr>
      </w:pPr>
    </w:p>
    <w:p w:rsidR="00C41BB2" w:rsidRPr="006B1D0F" w:rsidRDefault="006B1D0F" w:rsidP="006B1D0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rFonts w:ascii="Calibri" w:hAnsi="Calibri"/>
          <w:b/>
          <w:lang w:val="ro-RO"/>
        </w:rPr>
        <w:tab/>
      </w:r>
    </w:p>
    <w:sectPr w:rsidR="00C41BB2" w:rsidRPr="006B1D0F" w:rsidSect="00B420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4" w:right="1111" w:bottom="170" w:left="1298" w:header="51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A8" w:rsidRDefault="00581CA8">
      <w:r>
        <w:separator/>
      </w:r>
    </w:p>
  </w:endnote>
  <w:endnote w:type="continuationSeparator" w:id="1">
    <w:p w:rsidR="00581CA8" w:rsidRDefault="0058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E0" w:rsidRDefault="007D0BE0" w:rsidP="007D0BE0">
    <w:pPr>
      <w:pStyle w:val="Footer"/>
      <w:pBdr>
        <w:top w:val="single" w:sz="2" w:space="1" w:color="auto"/>
      </w:pBd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-1.8pt;width:198pt;height:49.2pt;z-index:251655680" filled="f" stroked="f">
          <v:textbox style="mso-next-textbox:#_x0000_s2049">
            <w:txbxContent>
              <w:p w:rsidR="007D0BE0" w:rsidRPr="000E72CC" w:rsidRDefault="007D0BE0" w:rsidP="007D0BE0">
                <w:pPr>
                  <w:rPr>
                    <w:sz w:val="16"/>
                    <w:szCs w:val="16"/>
                    <w:lang w:val="es-ES"/>
                  </w:rPr>
                </w:pPr>
                <w:r w:rsidRPr="000E72CC">
                  <w:rPr>
                    <w:sz w:val="16"/>
                    <w:szCs w:val="16"/>
                    <w:lang w:val="es-ES"/>
                  </w:rPr>
                  <w:t>Institutul Naţional al Magistraturii</w:t>
                </w:r>
              </w:p>
              <w:p w:rsidR="007D0BE0" w:rsidRPr="000E72CC" w:rsidRDefault="007D0BE0" w:rsidP="007D0BE0">
                <w:pPr>
                  <w:rPr>
                    <w:sz w:val="16"/>
                    <w:szCs w:val="16"/>
                    <w:lang w:val="es-ES"/>
                  </w:rPr>
                </w:pPr>
                <w:r w:rsidRPr="000E72CC">
                  <w:rPr>
                    <w:sz w:val="16"/>
                    <w:szCs w:val="16"/>
                    <w:lang w:val="es-ES"/>
                  </w:rPr>
                  <w:t>B-dul Regina Elisabeta, Nr. 53, Sector 5</w:t>
                </w:r>
              </w:p>
              <w:p w:rsidR="007D0BE0" w:rsidRPr="00BE566C" w:rsidRDefault="007D0BE0" w:rsidP="007D0BE0">
                <w:pPr>
                  <w:rPr>
                    <w:sz w:val="16"/>
                    <w:szCs w:val="16"/>
                  </w:rPr>
                </w:pPr>
                <w:r w:rsidRPr="00BE566C">
                  <w:rPr>
                    <w:sz w:val="16"/>
                    <w:szCs w:val="16"/>
                  </w:rPr>
                  <w:t>Tel.: +40 (21) 310.21.10    Fax: +40 (21) 311.02.34</w:t>
                </w:r>
              </w:p>
              <w:p w:rsidR="007D0BE0" w:rsidRPr="00ED3641" w:rsidRDefault="007D0BE0" w:rsidP="007D0B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www.inm-lex.ro 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0" type="#_x0000_t202" style="position:absolute;margin-left:441pt;margin-top:7.2pt;width:18pt;height:18pt;z-index:251656704" filled="f" stroked="f">
          <v:textbox style="mso-next-textbox:#_x0000_s2050">
            <w:txbxContent>
              <w:p w:rsidR="007D0BE0" w:rsidRPr="00ED3641" w:rsidRDefault="007D0BE0">
                <w:pPr>
                  <w:rPr>
                    <w:sz w:val="20"/>
                    <w:szCs w:val="20"/>
                  </w:rPr>
                </w:pPr>
                <w:r w:rsidRPr="00ED3641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Pr="00ED3641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ED3641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A4957">
                  <w:rPr>
                    <w:rStyle w:val="PageNumber"/>
                    <w:noProof/>
                    <w:sz w:val="20"/>
                    <w:szCs w:val="20"/>
                  </w:rPr>
                  <w:t>3</w:t>
                </w:r>
                <w:r w:rsidRPr="00ED3641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E0" w:rsidRDefault="007D0BE0" w:rsidP="007D0BE0">
    <w:pPr>
      <w:pStyle w:val="Footer"/>
      <w:pBdr>
        <w:top w:val="single" w:sz="2" w:space="1" w:color="auto"/>
      </w:pBd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pt;margin-top:-1.8pt;width:234pt;height:72.65pt;z-index:251658752" filled="f" stroked="f">
          <v:textbox style="mso-next-textbox:#_x0000_s2052">
            <w:txbxContent>
              <w:p w:rsidR="007D0BE0" w:rsidRPr="000E72CC" w:rsidRDefault="007D0BE0" w:rsidP="007D0BE0">
                <w:pPr>
                  <w:rPr>
                    <w:sz w:val="16"/>
                    <w:szCs w:val="16"/>
                    <w:lang w:val="es-ES"/>
                  </w:rPr>
                </w:pPr>
                <w:r w:rsidRPr="000E72CC">
                  <w:rPr>
                    <w:sz w:val="16"/>
                    <w:szCs w:val="16"/>
                    <w:lang w:val="es-ES"/>
                  </w:rPr>
                  <w:t>Institutul Naţional al Magistraturii</w:t>
                </w:r>
              </w:p>
              <w:p w:rsidR="007D0BE0" w:rsidRPr="000E72CC" w:rsidRDefault="007D0BE0" w:rsidP="007D0BE0">
                <w:pPr>
                  <w:rPr>
                    <w:sz w:val="16"/>
                    <w:szCs w:val="16"/>
                    <w:lang w:val="es-ES"/>
                  </w:rPr>
                </w:pPr>
                <w:r w:rsidRPr="000E72CC">
                  <w:rPr>
                    <w:sz w:val="16"/>
                    <w:szCs w:val="16"/>
                    <w:lang w:val="es-ES"/>
                  </w:rPr>
                  <w:t>B-dul Regina Elisabeta, Nr. 53, Sector 5</w:t>
                </w:r>
              </w:p>
              <w:p w:rsidR="007D0BE0" w:rsidRPr="00BE566C" w:rsidRDefault="007D0BE0" w:rsidP="007D0BE0">
                <w:pPr>
                  <w:rPr>
                    <w:sz w:val="16"/>
                    <w:szCs w:val="16"/>
                  </w:rPr>
                </w:pPr>
                <w:r w:rsidRPr="00BE566C">
                  <w:rPr>
                    <w:sz w:val="16"/>
                    <w:szCs w:val="16"/>
                  </w:rPr>
                  <w:t>Tel.: +40 (21) 310.21.10    Fax: +40 (21) 311.02.34</w:t>
                </w:r>
              </w:p>
              <w:p w:rsidR="007D0BE0" w:rsidRDefault="007D0BE0" w:rsidP="007D0B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www.inm-lex.ro </w:t>
                </w:r>
              </w:p>
              <w:p w:rsidR="007D0BE0" w:rsidRPr="001A17F6" w:rsidRDefault="007D0BE0" w:rsidP="007D0BE0">
                <w:pPr>
                  <w:rPr>
                    <w:b/>
                    <w:sz w:val="16"/>
                    <w:szCs w:val="16"/>
                  </w:rPr>
                </w:pPr>
                <w:r w:rsidRPr="001A17F6">
                  <w:rPr>
                    <w:b/>
                    <w:sz w:val="16"/>
                    <w:szCs w:val="16"/>
                  </w:rPr>
                  <w:t xml:space="preserve">Operator de date cu </w:t>
                </w:r>
                <w:r>
                  <w:rPr>
                    <w:b/>
                    <w:sz w:val="16"/>
                    <w:szCs w:val="16"/>
                  </w:rPr>
                  <w:t>c</w:t>
                </w:r>
                <w:r w:rsidRPr="001A17F6">
                  <w:rPr>
                    <w:b/>
                    <w:sz w:val="16"/>
                    <w:szCs w:val="16"/>
                  </w:rPr>
                  <w:t>aracter personal / Autorizatia nr. 3185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3" type="#_x0000_t202" style="position:absolute;margin-left:441pt;margin-top:7.2pt;width:18pt;height:18pt;z-index:251659776" filled="f" stroked="f">
          <v:textbox style="mso-next-textbox:#_x0000_s2053">
            <w:txbxContent>
              <w:p w:rsidR="007D0BE0" w:rsidRPr="00ED3641" w:rsidRDefault="007D0BE0" w:rsidP="007D0BE0">
                <w:pPr>
                  <w:rPr>
                    <w:sz w:val="20"/>
                    <w:szCs w:val="20"/>
                  </w:rPr>
                </w:pPr>
                <w:r w:rsidRPr="00ED3641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Pr="00ED3641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ED3641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A4957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ED3641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A8" w:rsidRDefault="00581CA8">
      <w:r>
        <w:separator/>
      </w:r>
    </w:p>
  </w:footnote>
  <w:footnote w:type="continuationSeparator" w:id="1">
    <w:p w:rsidR="00581CA8" w:rsidRDefault="0058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E0" w:rsidRDefault="007D0BE0" w:rsidP="007D0BE0">
    <w:pPr>
      <w:pStyle w:val="Header"/>
    </w:pPr>
  </w:p>
  <w:p w:rsidR="007D0BE0" w:rsidRDefault="007D0BE0" w:rsidP="007D0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E0" w:rsidRDefault="00CA495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19050" t="0" r="0" b="0"/>
          <wp:wrapNone/>
          <wp:docPr id="3" name="Pictur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A84"/>
    <w:multiLevelType w:val="hybridMultilevel"/>
    <w:tmpl w:val="9D9ABFFC"/>
    <w:lvl w:ilvl="0" w:tplc="4BFC92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6AF46F8"/>
    <w:multiLevelType w:val="hybridMultilevel"/>
    <w:tmpl w:val="682E1D3C"/>
    <w:lvl w:ilvl="0" w:tplc="94143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40064E"/>
    <w:multiLevelType w:val="hybridMultilevel"/>
    <w:tmpl w:val="114E59B0"/>
    <w:lvl w:ilvl="0" w:tplc="0418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D26126"/>
    <w:multiLevelType w:val="hybridMultilevel"/>
    <w:tmpl w:val="8826AA94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A25FEF"/>
    <w:multiLevelType w:val="hybridMultilevel"/>
    <w:tmpl w:val="BDF60646"/>
    <w:lvl w:ilvl="0" w:tplc="EC1A4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B4949"/>
    <w:multiLevelType w:val="hybridMultilevel"/>
    <w:tmpl w:val="7884C6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022E8"/>
    <w:multiLevelType w:val="hybridMultilevel"/>
    <w:tmpl w:val="C0E23BC4"/>
    <w:lvl w:ilvl="0" w:tplc="A8CE5202">
      <w:start w:val="1"/>
      <w:numFmt w:val="bullet"/>
      <w:lvlText w:val=""/>
      <w:lvlJc w:val="left"/>
      <w:pPr>
        <w:tabs>
          <w:tab w:val="num" w:pos="1420"/>
        </w:tabs>
        <w:ind w:left="14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39D4"/>
    <w:rsid w:val="000022CC"/>
    <w:rsid w:val="000053AC"/>
    <w:rsid w:val="00005AF1"/>
    <w:rsid w:val="00043AD7"/>
    <w:rsid w:val="00065CCF"/>
    <w:rsid w:val="000C20BA"/>
    <w:rsid w:val="000D372D"/>
    <w:rsid w:val="000E72CC"/>
    <w:rsid w:val="00116C6C"/>
    <w:rsid w:val="00144BDB"/>
    <w:rsid w:val="001710C4"/>
    <w:rsid w:val="00175792"/>
    <w:rsid w:val="00204F5F"/>
    <w:rsid w:val="00221784"/>
    <w:rsid w:val="002352F4"/>
    <w:rsid w:val="00261555"/>
    <w:rsid w:val="00264BC0"/>
    <w:rsid w:val="00273797"/>
    <w:rsid w:val="00282A36"/>
    <w:rsid w:val="0028606A"/>
    <w:rsid w:val="00295F0F"/>
    <w:rsid w:val="002A3CDD"/>
    <w:rsid w:val="002A6E06"/>
    <w:rsid w:val="002C4B66"/>
    <w:rsid w:val="002E2ED3"/>
    <w:rsid w:val="002E3D1E"/>
    <w:rsid w:val="003139D4"/>
    <w:rsid w:val="0032347A"/>
    <w:rsid w:val="003618D5"/>
    <w:rsid w:val="00365CA4"/>
    <w:rsid w:val="00365F8C"/>
    <w:rsid w:val="00391C2A"/>
    <w:rsid w:val="00391CE4"/>
    <w:rsid w:val="00394BAA"/>
    <w:rsid w:val="003E4C57"/>
    <w:rsid w:val="00403865"/>
    <w:rsid w:val="00476312"/>
    <w:rsid w:val="00496671"/>
    <w:rsid w:val="004B102D"/>
    <w:rsid w:val="004B760A"/>
    <w:rsid w:val="004E73D6"/>
    <w:rsid w:val="004F26C5"/>
    <w:rsid w:val="00543FC5"/>
    <w:rsid w:val="00560F97"/>
    <w:rsid w:val="00581CA8"/>
    <w:rsid w:val="00582FB4"/>
    <w:rsid w:val="00587348"/>
    <w:rsid w:val="005A2D1D"/>
    <w:rsid w:val="005D42F9"/>
    <w:rsid w:val="006055FD"/>
    <w:rsid w:val="00612A3A"/>
    <w:rsid w:val="00614313"/>
    <w:rsid w:val="00631872"/>
    <w:rsid w:val="0063651B"/>
    <w:rsid w:val="0065381A"/>
    <w:rsid w:val="00655EDE"/>
    <w:rsid w:val="0069631D"/>
    <w:rsid w:val="00696D7F"/>
    <w:rsid w:val="006B1D0F"/>
    <w:rsid w:val="006C6085"/>
    <w:rsid w:val="006E74EF"/>
    <w:rsid w:val="0070603B"/>
    <w:rsid w:val="00713A0A"/>
    <w:rsid w:val="00714672"/>
    <w:rsid w:val="007535F9"/>
    <w:rsid w:val="0077124F"/>
    <w:rsid w:val="0079236D"/>
    <w:rsid w:val="00796CD8"/>
    <w:rsid w:val="007C4443"/>
    <w:rsid w:val="007D0BE0"/>
    <w:rsid w:val="007E5CB3"/>
    <w:rsid w:val="007F181D"/>
    <w:rsid w:val="007F533C"/>
    <w:rsid w:val="007F6863"/>
    <w:rsid w:val="00825E0E"/>
    <w:rsid w:val="00844790"/>
    <w:rsid w:val="00846BB4"/>
    <w:rsid w:val="00907A9E"/>
    <w:rsid w:val="0091127D"/>
    <w:rsid w:val="00932E30"/>
    <w:rsid w:val="00933708"/>
    <w:rsid w:val="00971409"/>
    <w:rsid w:val="0097775F"/>
    <w:rsid w:val="009D0868"/>
    <w:rsid w:val="00A83E39"/>
    <w:rsid w:val="00A854FE"/>
    <w:rsid w:val="00AA693A"/>
    <w:rsid w:val="00AB0E73"/>
    <w:rsid w:val="00AC3982"/>
    <w:rsid w:val="00AF2C9C"/>
    <w:rsid w:val="00B13E15"/>
    <w:rsid w:val="00B22685"/>
    <w:rsid w:val="00B26442"/>
    <w:rsid w:val="00B420EE"/>
    <w:rsid w:val="00B710C2"/>
    <w:rsid w:val="00B71143"/>
    <w:rsid w:val="00B77F42"/>
    <w:rsid w:val="00B80F07"/>
    <w:rsid w:val="00BD17F3"/>
    <w:rsid w:val="00BE7A5E"/>
    <w:rsid w:val="00C147AC"/>
    <w:rsid w:val="00C23599"/>
    <w:rsid w:val="00C37418"/>
    <w:rsid w:val="00C41BB2"/>
    <w:rsid w:val="00C66CD7"/>
    <w:rsid w:val="00CA4957"/>
    <w:rsid w:val="00CB02D3"/>
    <w:rsid w:val="00CB3B48"/>
    <w:rsid w:val="00D13AF0"/>
    <w:rsid w:val="00D22678"/>
    <w:rsid w:val="00D2418C"/>
    <w:rsid w:val="00D42C59"/>
    <w:rsid w:val="00D97F77"/>
    <w:rsid w:val="00DB7A14"/>
    <w:rsid w:val="00DC5C0B"/>
    <w:rsid w:val="00DE4997"/>
    <w:rsid w:val="00DE5EE2"/>
    <w:rsid w:val="00DF70E7"/>
    <w:rsid w:val="00E06E6D"/>
    <w:rsid w:val="00E107BC"/>
    <w:rsid w:val="00E14DCA"/>
    <w:rsid w:val="00E47A7B"/>
    <w:rsid w:val="00E501DF"/>
    <w:rsid w:val="00E546EF"/>
    <w:rsid w:val="00E735C6"/>
    <w:rsid w:val="00EA1049"/>
    <w:rsid w:val="00EB1F1F"/>
    <w:rsid w:val="00F04CD8"/>
    <w:rsid w:val="00F6386C"/>
    <w:rsid w:val="00F709C4"/>
    <w:rsid w:val="00F75F7B"/>
    <w:rsid w:val="00F814B2"/>
    <w:rsid w:val="00F85921"/>
    <w:rsid w:val="00F8751F"/>
    <w:rsid w:val="00FA0E38"/>
    <w:rsid w:val="00F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9D4"/>
    <w:rPr>
      <w:sz w:val="24"/>
      <w:szCs w:val="24"/>
      <w:lang w:val="en-US" w:eastAsia="en-US"/>
    </w:rPr>
  </w:style>
  <w:style w:type="character" w:default="1" w:styleId="DefaultParagraphFont">
    <w:name w:val="Default Paragraph Font"/>
    <w:aliases w:val=" Char Char Caracter Caracter Char Char Caracter Caracter Char Char"/>
    <w:link w:val="CharCharCaracterCaracterCharChar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39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39D4"/>
  </w:style>
  <w:style w:type="character" w:styleId="Hyperlink">
    <w:name w:val="Hyperlink"/>
    <w:rsid w:val="003139D4"/>
    <w:rPr>
      <w:rFonts w:ascii="Arial" w:hAnsi="Arial" w:cs="Arial" w:hint="default"/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rsid w:val="003139D4"/>
    <w:pPr>
      <w:spacing w:before="100" w:beforeAutospacing="1" w:after="100" w:afterAutospacing="1"/>
    </w:pPr>
  </w:style>
  <w:style w:type="character" w:styleId="Strong">
    <w:name w:val="Strong"/>
    <w:qFormat/>
    <w:rsid w:val="003139D4"/>
    <w:rPr>
      <w:b/>
      <w:bCs/>
    </w:rPr>
  </w:style>
  <w:style w:type="character" w:customStyle="1" w:styleId="articol">
    <w:name w:val="articol"/>
    <w:basedOn w:val="DefaultParagraphFont"/>
    <w:rsid w:val="003139D4"/>
  </w:style>
  <w:style w:type="character" w:customStyle="1" w:styleId="alineat">
    <w:name w:val="alineat"/>
    <w:basedOn w:val="DefaultParagraphFont"/>
    <w:rsid w:val="003139D4"/>
  </w:style>
  <w:style w:type="paragraph" w:styleId="FootnoteText">
    <w:name w:val="footnote text"/>
    <w:basedOn w:val="Normal"/>
    <w:semiHidden/>
    <w:rsid w:val="002E3D1E"/>
    <w:rPr>
      <w:sz w:val="20"/>
      <w:szCs w:val="20"/>
      <w:lang w:val="en-GB"/>
    </w:rPr>
  </w:style>
  <w:style w:type="character" w:styleId="FootnoteReference">
    <w:name w:val="footnote reference"/>
    <w:semiHidden/>
    <w:rsid w:val="002E3D1E"/>
    <w:rPr>
      <w:vertAlign w:val="superscript"/>
    </w:rPr>
  </w:style>
  <w:style w:type="paragraph" w:styleId="BodyText">
    <w:name w:val="Body Text"/>
    <w:basedOn w:val="Normal"/>
    <w:rsid w:val="005D42F9"/>
    <w:pPr>
      <w:jc w:val="both"/>
    </w:pPr>
    <w:rPr>
      <w:rFonts w:ascii="Bookman Old Style" w:hAnsi="Bookman Old Style"/>
      <w:sz w:val="28"/>
      <w:szCs w:val="28"/>
      <w:lang w:val="ro-RO"/>
    </w:rPr>
  </w:style>
  <w:style w:type="paragraph" w:customStyle="1" w:styleId="CharCharCaracterCaracterCharCharCaracterCaracter">
    <w:name w:val=" Char Char Caracter Caracter Char Char Caracter Caracter"/>
    <w:basedOn w:val="Normal"/>
    <w:link w:val="DefaultParagraphFont"/>
    <w:rsid w:val="00713A0A"/>
    <w:rPr>
      <w:sz w:val="20"/>
      <w:szCs w:val="20"/>
      <w:lang w:val="pl-PL" w:eastAsia="pl-PL"/>
    </w:rPr>
  </w:style>
  <w:style w:type="paragraph" w:styleId="BalloonText">
    <w:name w:val="Balloon Text"/>
    <w:basedOn w:val="Normal"/>
    <w:semiHidden/>
    <w:rsid w:val="00F814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74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xandra.ana@inm-lex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ANUNŢ</vt:lpstr>
      <vt:lpstr>ANUNŢ</vt:lpstr>
    </vt:vector>
  </TitlesOfParts>
  <Company>INM</Company>
  <LinksUpToDate>false</LinksUpToDate>
  <CharactersWithSpaces>5574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mailto:ruxandra.ana@inm-lex.ro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creator>ruxandra ana</dc:creator>
  <cp:lastModifiedBy>Magda</cp:lastModifiedBy>
  <cp:revision>2</cp:revision>
  <cp:lastPrinted>2012-12-10T09:52:00Z</cp:lastPrinted>
  <dcterms:created xsi:type="dcterms:W3CDTF">2017-05-10T11:47:00Z</dcterms:created>
  <dcterms:modified xsi:type="dcterms:W3CDTF">2017-05-10T11:47:00Z</dcterms:modified>
</cp:coreProperties>
</file>