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B9172F" w14:textId="77777777" w:rsidR="00A260C6" w:rsidRPr="006C332D" w:rsidRDefault="00E05EE3" w:rsidP="001725B5">
      <w:pPr>
        <w:pStyle w:val="NoSpacing"/>
        <w:ind w:right="-15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C332D">
        <w:rPr>
          <w:rFonts w:ascii="Times New Roman" w:hAnsi="Times New Roman" w:cs="Times New Roman"/>
          <w:b/>
          <w:sz w:val="28"/>
          <w:szCs w:val="28"/>
          <w:lang w:val="ro-RO"/>
        </w:rPr>
        <w:t>EXPUNERE DE MOTIVE</w:t>
      </w:r>
    </w:p>
    <w:p w14:paraId="3CBB37BF" w14:textId="77777777" w:rsidR="00A260C6" w:rsidRPr="006C332D" w:rsidRDefault="00A260C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1006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B467BC" w:rsidRPr="006C332D" w14:paraId="1BAEEF85" w14:textId="77777777" w:rsidTr="006C332D">
        <w:trPr>
          <w:trHeight w:val="1175"/>
        </w:trPr>
        <w:tc>
          <w:tcPr>
            <w:tcW w:w="100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55673C6" w14:textId="0FA2AD7A" w:rsidR="00A260C6" w:rsidRPr="006C332D" w:rsidRDefault="00A260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iunea 1</w:t>
            </w:r>
          </w:p>
          <w:p w14:paraId="10A46785" w14:textId="77777777" w:rsidR="00A260C6" w:rsidRPr="006C332D" w:rsidRDefault="00A260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Titlul </w:t>
            </w:r>
            <w:r w:rsidR="006D230A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proiectului de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act normativ</w:t>
            </w:r>
          </w:p>
          <w:p w14:paraId="0E242513" w14:textId="536CE030" w:rsidR="00A260C6" w:rsidRPr="006C332D" w:rsidRDefault="006D230A" w:rsidP="00E05EE3">
            <w:pPr>
              <w:pStyle w:val="NoSpacing"/>
              <w:jc w:val="both"/>
              <w:rPr>
                <w:b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</w:t>
            </w:r>
            <w:r w:rsidR="00E05EE3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ege</w:t>
            </w:r>
            <w:r w:rsidR="00A260C6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A260C6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pentru</w:t>
            </w:r>
            <w:r w:rsidR="00E05EE3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modificarea 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ș</w:t>
            </w:r>
            <w:r w:rsidR="00E05EE3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i</w:t>
            </w:r>
            <w:r w:rsidR="00A260C6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completarea Ordonan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ț</w:t>
            </w:r>
            <w:r w:rsidR="00A260C6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ei Guvernului nr. 119/1999 privind controlul intern/managerial 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ș</w:t>
            </w:r>
            <w:r w:rsidR="00A260C6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i controlul financiar preventiv</w:t>
            </w:r>
            <w:r w:rsidR="009926A6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        </w:t>
            </w:r>
            <w:r w:rsidR="00BE3DFF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B467BC" w:rsidRPr="006C332D" w14:paraId="175900FC" w14:textId="77777777" w:rsidTr="006C332D">
        <w:trPr>
          <w:trHeight w:val="508"/>
        </w:trPr>
        <w:tc>
          <w:tcPr>
            <w:tcW w:w="1006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1277BD6" w14:textId="35F4FEFA" w:rsidR="00A260C6" w:rsidRPr="006C332D" w:rsidRDefault="00A260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iunea a 2-a</w:t>
            </w:r>
          </w:p>
          <w:p w14:paraId="02C69544" w14:textId="77777777" w:rsidR="00A260C6" w:rsidRPr="006C332D" w:rsidRDefault="00A260C6" w:rsidP="00E70C00">
            <w:pPr>
              <w:pStyle w:val="NoSpacing"/>
              <w:jc w:val="center"/>
              <w:rPr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Motiv</w:t>
            </w:r>
            <w:r w:rsidR="00E70C00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ul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emiterii actului normativ</w:t>
            </w:r>
          </w:p>
        </w:tc>
      </w:tr>
      <w:tr w:rsidR="00B467BC" w:rsidRPr="006C332D" w14:paraId="26F8275F" w14:textId="77777777" w:rsidTr="006C332D">
        <w:trPr>
          <w:trHeight w:val="2437"/>
        </w:trPr>
        <w:tc>
          <w:tcPr>
            <w:tcW w:w="10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C878EA0" w14:textId="2D400D5C" w:rsidR="00A260C6" w:rsidRPr="006C332D" w:rsidRDefault="00A260C6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Descrierea situa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iei actuale</w:t>
            </w:r>
            <w:r w:rsidR="00BE3DFF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9926A6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</w:p>
          <w:p w14:paraId="3D9E54CC" w14:textId="0203B21C" w:rsidR="00B148A2" w:rsidRPr="006C332D" w:rsidRDefault="00A260C6" w:rsidP="00C109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4F7B" w:rsidRPr="006C332D">
              <w:rPr>
                <w:rFonts w:ascii="Times New Roman" w:hAnsi="Times New Roman" w:cs="Times New Roman"/>
                <w:sz w:val="24"/>
                <w:szCs w:val="24"/>
              </w:rPr>
              <w:t>Actul normativ în vigoare nu con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CF4F7B" w:rsidRPr="006C332D">
              <w:rPr>
                <w:rFonts w:ascii="Times New Roman" w:hAnsi="Times New Roman" w:cs="Times New Roman"/>
                <w:sz w:val="24"/>
                <w:szCs w:val="24"/>
              </w:rPr>
              <w:t>ine prevederi referitoare la regimul incompatibilită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CF4F7B" w:rsidRPr="006C332D">
              <w:rPr>
                <w:rFonts w:ascii="Times New Roman" w:hAnsi="Times New Roman" w:cs="Times New Roman"/>
                <w:sz w:val="24"/>
                <w:szCs w:val="24"/>
              </w:rPr>
              <w:t xml:space="preserve">ilor specifice  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CF4F7B" w:rsidRPr="006C332D">
              <w:rPr>
                <w:rFonts w:ascii="Times New Roman" w:hAnsi="Times New Roman" w:cs="Times New Roman"/>
                <w:sz w:val="24"/>
                <w:szCs w:val="24"/>
              </w:rPr>
              <w:t xml:space="preserve">i al conflictelor de interese aplicabile persoanelor desemnate să exercite controlul financiar preventiv propriu, indiferent de regimul juridic aplicabil acestora, precum 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CF4F7B" w:rsidRPr="006C332D">
              <w:rPr>
                <w:rFonts w:ascii="Times New Roman" w:hAnsi="Times New Roman" w:cs="Times New Roman"/>
                <w:sz w:val="24"/>
                <w:szCs w:val="24"/>
              </w:rPr>
              <w:t>i cu privire la  asigurarea independen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CF4F7B" w:rsidRPr="006C332D">
              <w:rPr>
                <w:rFonts w:ascii="Times New Roman" w:hAnsi="Times New Roman" w:cs="Times New Roman"/>
                <w:sz w:val="24"/>
                <w:szCs w:val="24"/>
              </w:rPr>
              <w:t>ei lor decizionale în exercitarea controlului. Aspectele men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CF4F7B" w:rsidRPr="006C332D">
              <w:rPr>
                <w:rFonts w:ascii="Times New Roman" w:hAnsi="Times New Roman" w:cs="Times New Roman"/>
                <w:sz w:val="24"/>
                <w:szCs w:val="24"/>
              </w:rPr>
              <w:t>ionate corespund unor măsuri specifice prevăzute în Hotărârea Guvernului nr. 901/2015 privind aprobarea Strategiei na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CF4F7B" w:rsidRPr="006C332D">
              <w:rPr>
                <w:rFonts w:ascii="Times New Roman" w:hAnsi="Times New Roman" w:cs="Times New Roman"/>
                <w:sz w:val="24"/>
                <w:szCs w:val="24"/>
              </w:rPr>
              <w:t>ionale în domeniul achizi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CF4F7B" w:rsidRPr="006C332D">
              <w:rPr>
                <w:rFonts w:ascii="Times New Roman" w:hAnsi="Times New Roman" w:cs="Times New Roman"/>
                <w:sz w:val="24"/>
                <w:szCs w:val="24"/>
              </w:rPr>
              <w:t xml:space="preserve">iilor publice, care trebuie reglementate în vederea  </w:t>
            </w:r>
            <w:r w:rsidR="00C1090C" w:rsidRPr="006C332D">
              <w:rPr>
                <w:rFonts w:ascii="Times New Roman" w:hAnsi="Times New Roman" w:cs="Times New Roman"/>
                <w:sz w:val="24"/>
                <w:szCs w:val="24"/>
              </w:rPr>
              <w:t>întări</w:t>
            </w:r>
            <w:r w:rsidR="00CF4F7B" w:rsidRPr="006C332D">
              <w:rPr>
                <w:rFonts w:ascii="Times New Roman" w:hAnsi="Times New Roman" w:cs="Times New Roman"/>
                <w:sz w:val="24"/>
                <w:szCs w:val="24"/>
              </w:rPr>
              <w:t>rii controlului financiar preventiv propriu în procesul de verificare a proiectelor de opera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CF4F7B" w:rsidRPr="006C332D">
              <w:rPr>
                <w:rFonts w:ascii="Times New Roman" w:hAnsi="Times New Roman" w:cs="Times New Roman"/>
                <w:sz w:val="24"/>
                <w:szCs w:val="24"/>
              </w:rPr>
              <w:t xml:space="preserve">iuni, în general, 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CF4F7B" w:rsidRPr="006C332D">
              <w:rPr>
                <w:rFonts w:ascii="Times New Roman" w:hAnsi="Times New Roman" w:cs="Times New Roman"/>
                <w:sz w:val="24"/>
                <w:szCs w:val="24"/>
              </w:rPr>
              <w:t>i a celor privind achizi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CF4F7B" w:rsidRPr="006C332D">
              <w:rPr>
                <w:rFonts w:ascii="Times New Roman" w:hAnsi="Times New Roman" w:cs="Times New Roman"/>
                <w:sz w:val="24"/>
                <w:szCs w:val="24"/>
              </w:rPr>
              <w:t>iile publice, în special, ca parte a condi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CF4F7B" w:rsidRPr="006C332D">
              <w:rPr>
                <w:rFonts w:ascii="Times New Roman" w:hAnsi="Times New Roman" w:cs="Times New Roman"/>
                <w:sz w:val="24"/>
                <w:szCs w:val="24"/>
              </w:rPr>
              <w:t>ionalită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CF4F7B" w:rsidRPr="006C332D">
              <w:rPr>
                <w:rFonts w:ascii="Times New Roman" w:hAnsi="Times New Roman" w:cs="Times New Roman"/>
                <w:sz w:val="24"/>
                <w:szCs w:val="24"/>
              </w:rPr>
              <w:t>ii ex-ante privind achizi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CF4F7B" w:rsidRPr="006C332D">
              <w:rPr>
                <w:rFonts w:ascii="Times New Roman" w:hAnsi="Times New Roman" w:cs="Times New Roman"/>
                <w:sz w:val="24"/>
                <w:szCs w:val="24"/>
              </w:rPr>
              <w:t>iile publice.</w:t>
            </w:r>
          </w:p>
          <w:p w14:paraId="477E51CB" w14:textId="0DCA3427" w:rsidR="00C1090C" w:rsidRPr="006C332D" w:rsidRDefault="00C1090C" w:rsidP="00C109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2D">
              <w:rPr>
                <w:rFonts w:ascii="Times New Roman" w:hAnsi="Times New Roman" w:cs="Times New Roman"/>
                <w:sz w:val="24"/>
                <w:szCs w:val="24"/>
              </w:rPr>
              <w:t>De asemenea</w:t>
            </w:r>
            <w:r w:rsidR="0089193A" w:rsidRPr="006C3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332D">
              <w:rPr>
                <w:rFonts w:ascii="Times New Roman" w:hAnsi="Times New Roman" w:cs="Times New Roman"/>
                <w:sz w:val="24"/>
                <w:szCs w:val="24"/>
              </w:rPr>
              <w:t xml:space="preserve"> este necesară</w:t>
            </w:r>
            <w:r w:rsidR="00507605" w:rsidRPr="006C332D">
              <w:rPr>
                <w:rFonts w:ascii="Times New Roman" w:hAnsi="Times New Roman" w:cs="Times New Roman"/>
                <w:sz w:val="24"/>
                <w:szCs w:val="24"/>
              </w:rPr>
              <w:t xml:space="preserve"> eliminarea institu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507605" w:rsidRPr="006C332D">
              <w:rPr>
                <w:rFonts w:ascii="Times New Roman" w:hAnsi="Times New Roman" w:cs="Times New Roman"/>
                <w:sz w:val="24"/>
                <w:szCs w:val="24"/>
              </w:rPr>
              <w:t>iei numirii, suspendării</w:t>
            </w:r>
            <w:r w:rsidR="00487EB3" w:rsidRPr="006C332D">
              <w:rPr>
                <w:rFonts w:ascii="Times New Roman" w:hAnsi="Times New Roman" w:cs="Times New Roman"/>
                <w:sz w:val="24"/>
                <w:szCs w:val="24"/>
              </w:rPr>
              <w:t>, schimbării</w:t>
            </w:r>
            <w:r w:rsidR="00507605" w:rsidRPr="006C3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507605" w:rsidRPr="006C332D">
              <w:rPr>
                <w:rFonts w:ascii="Times New Roman" w:hAnsi="Times New Roman" w:cs="Times New Roman"/>
                <w:sz w:val="24"/>
                <w:szCs w:val="24"/>
              </w:rPr>
              <w:t>i destituirii personalului care exercită</w:t>
            </w:r>
            <w:r w:rsidR="005754AA" w:rsidRPr="006C332D">
              <w:rPr>
                <w:rFonts w:ascii="Times New Roman" w:hAnsi="Times New Roman" w:cs="Times New Roman"/>
                <w:sz w:val="24"/>
                <w:szCs w:val="24"/>
              </w:rPr>
              <w:t xml:space="preserve"> activitatea de control financiar preventiv</w:t>
            </w:r>
            <w:r w:rsidR="00B148A2" w:rsidRPr="006C332D">
              <w:rPr>
                <w:rFonts w:ascii="Times New Roman" w:hAnsi="Times New Roman" w:cs="Times New Roman"/>
                <w:sz w:val="24"/>
                <w:szCs w:val="24"/>
              </w:rPr>
              <w:t xml:space="preserve"> propriu</w:t>
            </w:r>
            <w:r w:rsidR="005754AA" w:rsidRPr="006C332D">
              <w:rPr>
                <w:rFonts w:ascii="Times New Roman" w:hAnsi="Times New Roman" w:cs="Times New Roman"/>
                <w:sz w:val="24"/>
                <w:szCs w:val="24"/>
              </w:rPr>
              <w:t xml:space="preserve"> pentru a se evita suprapunerea cu prevederile Legii nr.188/1999 privind Statutul func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5754AA" w:rsidRPr="006C332D">
              <w:rPr>
                <w:rFonts w:ascii="Times New Roman" w:hAnsi="Times New Roman" w:cs="Times New Roman"/>
                <w:sz w:val="24"/>
                <w:szCs w:val="24"/>
              </w:rPr>
              <w:t>ionarilor publici</w:t>
            </w:r>
            <w:r w:rsidRPr="006C3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4AA" w:rsidRPr="006C332D">
              <w:rPr>
                <w:rFonts w:ascii="Times New Roman" w:hAnsi="Times New Roman" w:cs="Times New Roman"/>
                <w:sz w:val="24"/>
                <w:szCs w:val="24"/>
              </w:rPr>
              <w:t xml:space="preserve">cu modificările 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5754AA" w:rsidRPr="006C332D">
              <w:rPr>
                <w:rFonts w:ascii="Times New Roman" w:hAnsi="Times New Roman" w:cs="Times New Roman"/>
                <w:sz w:val="24"/>
                <w:szCs w:val="24"/>
              </w:rPr>
              <w:t xml:space="preserve">i completările ulterioare 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5754AA" w:rsidRPr="006C332D">
              <w:rPr>
                <w:rFonts w:ascii="Times New Roman" w:hAnsi="Times New Roman" w:cs="Times New Roman"/>
                <w:sz w:val="24"/>
                <w:szCs w:val="24"/>
              </w:rPr>
              <w:t xml:space="preserve">i ale Legii nr. 53/2003 privind Codul muncii, cu modificările 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5754AA" w:rsidRPr="006C332D">
              <w:rPr>
                <w:rFonts w:ascii="Times New Roman" w:hAnsi="Times New Roman" w:cs="Times New Roman"/>
                <w:sz w:val="24"/>
                <w:szCs w:val="24"/>
              </w:rPr>
              <w:t>i completările ulterioare</w:t>
            </w:r>
            <w:r w:rsidR="004A7D5D" w:rsidRPr="006C332D">
              <w:rPr>
                <w:rFonts w:ascii="Times New Roman" w:hAnsi="Times New Roman" w:cs="Times New Roman"/>
                <w:sz w:val="24"/>
                <w:szCs w:val="24"/>
              </w:rPr>
              <w:t>. Totodată</w:t>
            </w:r>
            <w:r w:rsidR="005161F1" w:rsidRPr="006C3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7D5D" w:rsidRPr="006C332D">
              <w:rPr>
                <w:rFonts w:ascii="Times New Roman" w:hAnsi="Times New Roman" w:cs="Times New Roman"/>
                <w:sz w:val="24"/>
                <w:szCs w:val="24"/>
              </w:rPr>
              <w:t xml:space="preserve"> este necesară</w:t>
            </w:r>
            <w:r w:rsidR="005754AA" w:rsidRPr="006C3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2D">
              <w:rPr>
                <w:rFonts w:ascii="Times New Roman" w:hAnsi="Times New Roman" w:cs="Times New Roman"/>
                <w:sz w:val="24"/>
                <w:szCs w:val="24"/>
              </w:rPr>
              <w:t>responsabilizarea conducătorilor entită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6C332D">
              <w:rPr>
                <w:rFonts w:ascii="Times New Roman" w:hAnsi="Times New Roman" w:cs="Times New Roman"/>
                <w:sz w:val="24"/>
                <w:szCs w:val="24"/>
              </w:rPr>
              <w:t xml:space="preserve">ilor publice cu privire la desemnarea </w:t>
            </w:r>
            <w:r w:rsidR="0089193A" w:rsidRPr="006C332D">
              <w:rPr>
                <w:rFonts w:ascii="Times New Roman" w:hAnsi="Times New Roman" w:cs="Times New Roman"/>
                <w:sz w:val="24"/>
                <w:szCs w:val="24"/>
              </w:rPr>
              <w:t xml:space="preserve">unor </w:t>
            </w:r>
            <w:r w:rsidRPr="006C332D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r w:rsidR="0089193A" w:rsidRPr="006C332D">
              <w:rPr>
                <w:rFonts w:ascii="Times New Roman" w:hAnsi="Times New Roman" w:cs="Times New Roman"/>
                <w:sz w:val="24"/>
                <w:szCs w:val="24"/>
              </w:rPr>
              <w:t xml:space="preserve"> competente</w:t>
            </w:r>
            <w:r w:rsidRPr="006C332D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r w:rsidR="0089193A" w:rsidRPr="006C332D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r w:rsidR="00B148A2" w:rsidRPr="006C332D">
              <w:rPr>
                <w:rFonts w:ascii="Times New Roman" w:hAnsi="Times New Roman" w:cs="Times New Roman"/>
                <w:sz w:val="24"/>
                <w:szCs w:val="24"/>
              </w:rPr>
              <w:t xml:space="preserve"> exercite</w:t>
            </w:r>
            <w:r w:rsidRPr="006C332D">
              <w:rPr>
                <w:rFonts w:ascii="Times New Roman" w:hAnsi="Times New Roman" w:cs="Times New Roman"/>
                <w:sz w:val="24"/>
                <w:szCs w:val="24"/>
              </w:rPr>
              <w:t xml:space="preserve"> această formă de control</w:t>
            </w:r>
            <w:r w:rsidR="0089193A" w:rsidRPr="006C3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6239" w:rsidRPr="006C332D">
              <w:rPr>
                <w:rFonts w:ascii="Times New Roman" w:hAnsi="Times New Roman" w:cs="Times New Roman"/>
                <w:sz w:val="24"/>
                <w:szCs w:val="24"/>
              </w:rPr>
              <w:t xml:space="preserve"> astfel </w:t>
            </w:r>
            <w:r w:rsidR="004A7D5D" w:rsidRPr="006C332D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DC6239" w:rsidRPr="006C332D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="004A7D5D" w:rsidRPr="006C332D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DC6239" w:rsidRPr="006C332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9193A" w:rsidRPr="006C3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239" w:rsidRPr="006C332D">
              <w:rPr>
                <w:rFonts w:ascii="Times New Roman" w:hAnsi="Times New Roman" w:cs="Times New Roman"/>
                <w:sz w:val="24"/>
                <w:szCs w:val="24"/>
              </w:rPr>
              <w:t>persoanele respective</w:t>
            </w:r>
            <w:r w:rsidR="0089193A" w:rsidRPr="006C3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239" w:rsidRPr="006C332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A7D5D" w:rsidRPr="006C332D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DC6239" w:rsidRPr="006C332D">
              <w:rPr>
                <w:rFonts w:ascii="Times New Roman" w:hAnsi="Times New Roman" w:cs="Times New Roman"/>
                <w:sz w:val="24"/>
                <w:szCs w:val="24"/>
              </w:rPr>
              <w:t xml:space="preserve"> contribuie</w:t>
            </w:r>
            <w:r w:rsidR="00DC6239" w:rsidRPr="006C33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9193A" w:rsidRPr="006C332D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DC6239" w:rsidRPr="006C332D">
              <w:rPr>
                <w:rFonts w:ascii="Times New Roman" w:hAnsi="Times New Roman" w:cs="Times New Roman"/>
                <w:sz w:val="24"/>
                <w:szCs w:val="24"/>
              </w:rPr>
              <w:t xml:space="preserve"> elimin</w:t>
            </w:r>
            <w:r w:rsidR="0089193A" w:rsidRPr="006C332D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="00DC6239" w:rsidRPr="006C332D">
              <w:rPr>
                <w:rFonts w:ascii="Times New Roman" w:hAnsi="Times New Roman" w:cs="Times New Roman"/>
                <w:sz w:val="24"/>
                <w:szCs w:val="24"/>
              </w:rPr>
              <w:t xml:space="preserve"> neregulilor 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DC6239" w:rsidRPr="006C332D">
              <w:rPr>
                <w:rFonts w:ascii="Times New Roman" w:hAnsi="Times New Roman" w:cs="Times New Roman"/>
                <w:sz w:val="24"/>
                <w:szCs w:val="24"/>
              </w:rPr>
              <w:t>i disfunc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DC6239" w:rsidRPr="006C332D">
              <w:rPr>
                <w:rFonts w:ascii="Times New Roman" w:hAnsi="Times New Roman" w:cs="Times New Roman"/>
                <w:sz w:val="24"/>
                <w:szCs w:val="24"/>
              </w:rPr>
              <w:t>ionalită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DC6239" w:rsidRPr="006C332D">
              <w:rPr>
                <w:rFonts w:ascii="Times New Roman" w:hAnsi="Times New Roman" w:cs="Times New Roman"/>
                <w:sz w:val="24"/>
                <w:szCs w:val="24"/>
              </w:rPr>
              <w:t>ilor în ceea ce prive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DC6239" w:rsidRPr="006C332D">
              <w:rPr>
                <w:rFonts w:ascii="Times New Roman" w:hAnsi="Times New Roman" w:cs="Times New Roman"/>
                <w:sz w:val="24"/>
                <w:szCs w:val="24"/>
              </w:rPr>
              <w:t xml:space="preserve">te angajarea 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DC6239" w:rsidRPr="006C332D">
              <w:rPr>
                <w:rFonts w:ascii="Times New Roman" w:hAnsi="Times New Roman" w:cs="Times New Roman"/>
                <w:sz w:val="24"/>
                <w:szCs w:val="24"/>
              </w:rPr>
              <w:t>i plata cheltuielilor publice, din care o parte semnificativă revine achizi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DC6239" w:rsidRPr="006C332D">
              <w:rPr>
                <w:rFonts w:ascii="Times New Roman" w:hAnsi="Times New Roman" w:cs="Times New Roman"/>
                <w:sz w:val="24"/>
                <w:szCs w:val="24"/>
              </w:rPr>
              <w:t>iilor publice.</w:t>
            </w:r>
            <w:r w:rsidRPr="006C3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77811F" w14:textId="4C7D6552" w:rsidR="00BE52BC" w:rsidRPr="006C332D" w:rsidRDefault="00CF4F7B" w:rsidP="002638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="001F3CAE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rt. 5 alin. (1) din Ordonan</w:t>
            </w:r>
            <w:r w:rsidR="006C332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1F3CAE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 Guvernului nr. 119/1999 reglementează numai obliga</w:t>
            </w:r>
            <w:r w:rsidR="006C332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1F3CAE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ia p</w:t>
            </w:r>
            <w:r w:rsidR="001F3CAE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ersoanelor care gestionează fonduri publice sau patrimoniul public</w:t>
            </w:r>
            <w:r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,</w:t>
            </w:r>
            <w:r w:rsidR="001F3CAE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de a realiza o bună gestiune financiară prin asigurarea legalită</w:t>
            </w:r>
            <w:r w:rsid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ț</w:t>
            </w:r>
            <w:r w:rsidR="001F3CAE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ii, regularită</w:t>
            </w:r>
            <w:r w:rsid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ț</w:t>
            </w:r>
            <w:r w:rsidR="001F3CAE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ii, economicită</w:t>
            </w:r>
            <w:r w:rsid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ț</w:t>
            </w:r>
            <w:r w:rsidR="001F3CAE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ii, eficacită</w:t>
            </w:r>
            <w:r w:rsid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ț</w:t>
            </w:r>
            <w:r w:rsidR="001F3CAE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ii </w:t>
            </w:r>
            <w:r w:rsid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ș</w:t>
            </w:r>
            <w:r w:rsidR="001F3CAE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 eficien</w:t>
            </w:r>
            <w:r w:rsid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ț</w:t>
            </w:r>
            <w:r w:rsidR="001F3CAE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ei în utilizarea fondurilor publice </w:t>
            </w:r>
            <w:r w:rsid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ș</w:t>
            </w:r>
            <w:r w:rsidR="001F3CAE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 în administrarea patrimoniului public, acesta neincl</w:t>
            </w:r>
            <w:r w:rsidR="001F3CAE" w:rsidRPr="006C3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uzând ace</w:t>
            </w:r>
            <w:r w:rsidR="00B256E3" w:rsidRPr="006C3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e</w:t>
            </w:r>
            <w:r w:rsidR="001F3CAE" w:rsidRPr="006C3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a</w:t>
            </w:r>
            <w:r w:rsidR="006C3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ș</w:t>
            </w:r>
            <w:r w:rsidR="001F3CAE" w:rsidRPr="006C3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i obliga</w:t>
            </w:r>
            <w:r w:rsidR="006C3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ț</w:t>
            </w:r>
            <w:r w:rsidR="001F3CAE" w:rsidRPr="006C3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ie c</w:t>
            </w:r>
            <w:r w:rsidR="001F3CAE" w:rsidRPr="006C332D">
              <w:rPr>
                <w:rFonts w:ascii="Times New Roman" w:hAnsi="Times New Roman" w:cs="Times New Roman"/>
                <w:iCs/>
                <w:sz w:val="24"/>
                <w:szCs w:val="24"/>
                <w:lang w:val="ro-RO" w:eastAsia="ro-RO"/>
              </w:rPr>
              <w:t>onducătorilor entită</w:t>
            </w:r>
            <w:r w:rsidR="006C332D">
              <w:rPr>
                <w:rFonts w:ascii="Times New Roman" w:hAnsi="Times New Roman" w:cs="Times New Roman"/>
                <w:iCs/>
                <w:sz w:val="24"/>
                <w:szCs w:val="24"/>
                <w:lang w:val="ro-RO" w:eastAsia="ro-RO"/>
              </w:rPr>
              <w:t>ț</w:t>
            </w:r>
            <w:r w:rsidR="001F3CAE" w:rsidRPr="006C332D">
              <w:rPr>
                <w:rFonts w:ascii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ilor publice </w:t>
            </w:r>
            <w:r w:rsidR="001F3CAE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care gestionează fonduri publice sau patrimoniul public, respectiv de a</w:t>
            </w:r>
            <w:r w:rsidR="001F3CAE" w:rsidRPr="006C332D">
              <w:rPr>
                <w:rFonts w:ascii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asigura 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o bună gestiune financiară prin asigurarea legalită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ț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ii, regularită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ț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ii, economicită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ț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ii, eficacită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ț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ii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ș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 eficien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ț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ei în desfă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ș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urarea activită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ț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ii.</w:t>
            </w:r>
            <w:r w:rsidR="009926A6" w:rsidRP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   </w:t>
            </w:r>
          </w:p>
          <w:p w14:paraId="2690CC2B" w14:textId="14FFA30D" w:rsidR="00A260C6" w:rsidRPr="006C332D" w:rsidRDefault="00BE52BC" w:rsidP="002638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Actele de control întocmite de inspec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economico – financiară a Ministerului Finan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elor Publice, potrivit art. 22 din Ordonan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Guvernului nr.119/1999, consemnează existen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la nivelul institu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 publice a unor încălcări ale prevederilor legale, dintre care unele cu privire la achizi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iile publice realizate din fonduri comunitare, care determină corec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financiare substan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iale. Unele dintre institu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iile publice controlate obstruc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ionează activitatea de inspec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 economico – financiară, prin invocarea unor reglementări insuficiente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neunitare ale cadrului legal de efectuare a inspec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iilor. Această situa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 determină necesitatea armonizării prevederilor legale cu privire la inspec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la solu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ionarea plângerilor prealabile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 contesta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iilor, în raport cu cerin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  actelor normative </w:t>
            </w:r>
            <w:r w:rsidR="001A0846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aplicabile</w:t>
            </w:r>
            <w:r w:rsidR="001F3CA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 </w:t>
            </w:r>
          </w:p>
          <w:p w14:paraId="07CFF899" w14:textId="76A9D30E" w:rsidR="006C332D" w:rsidRPr="006C332D" w:rsidRDefault="0069617F" w:rsidP="006C33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Ordonan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ț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 Guvernului nr. 119/1999 prevede că, împotriva procesului-verbal de inspec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ț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ie se poate formula contesta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ț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ie în termen de 15 zile lucrătoare. Modificarea tipului actului emis de persoanele desemnate să efectueze inspec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ț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ia la institu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ț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iile publice impune modificarea prevederilor referitoare la solu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ț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ionarea plângerilor prealabile formulate împotriva acestora, în acord cu Legea contenciosului administrativ nr. 554/2004 care prevede că, împotriva actelor administrative se poate formula plângere în termen de 30 de zile de la data comunicării actului. </w:t>
            </w:r>
          </w:p>
        </w:tc>
      </w:tr>
      <w:tr w:rsidR="00B467BC" w:rsidRPr="006C332D" w14:paraId="35BDD4B5" w14:textId="77777777" w:rsidTr="006C332D">
        <w:trPr>
          <w:trHeight w:val="424"/>
        </w:trPr>
        <w:tc>
          <w:tcPr>
            <w:tcW w:w="10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90B34C4" w14:textId="35D4D689" w:rsidR="00A260C6" w:rsidRPr="006C332D" w:rsidRDefault="00A260C6" w:rsidP="009434C0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Schimbări preconizate</w:t>
            </w:r>
            <w:r w:rsidR="00BE3DFF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r w:rsidR="009926A6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423EE6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</w:t>
            </w:r>
            <w:r w:rsidR="009926A6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</w:t>
            </w:r>
          </w:p>
          <w:p w14:paraId="6A1F507E" w14:textId="255D2265" w:rsidR="00283E27" w:rsidRPr="006C332D" w:rsidRDefault="005161F1" w:rsidP="001F36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P</w:t>
            </w:r>
            <w:r w:rsidR="00030473" w:rsidRPr="006C332D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entru îndeplinirea </w:t>
            </w:r>
            <w:r w:rsidR="00582956" w:rsidRPr="006C332D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condi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ț</w:t>
            </w:r>
            <w:r w:rsidR="00582956" w:rsidRPr="006C332D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ionalit</w:t>
            </w:r>
            <w:r w:rsidR="00030473" w:rsidRPr="006C332D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ă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ț</w:t>
            </w:r>
            <w:r w:rsidR="00030473" w:rsidRPr="006C332D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ii</w:t>
            </w:r>
            <w:r w:rsidR="00582956" w:rsidRPr="006C332D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ex-ante privind achizi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ț</w:t>
            </w:r>
            <w:r w:rsidR="00582956" w:rsidRPr="006C332D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iile publice,</w:t>
            </w:r>
            <w:r w:rsidR="00726237" w:rsidRPr="006C332D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Ministerul Finan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ț</w:t>
            </w:r>
            <w:r w:rsidR="00726237" w:rsidRPr="006C332D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elor Publice este responsabil de</w:t>
            </w:r>
            <w:r w:rsidR="00582956" w:rsidRPr="006C332D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modificarea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ș</w:t>
            </w:r>
            <w:r w:rsidR="00582956" w:rsidRPr="006C332D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i</w:t>
            </w:r>
            <w:r w:rsidR="00726237" w:rsidRPr="006C332D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completarea </w:t>
            </w:r>
            <w:r w:rsidR="00835D73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cadrului legal pentru </w:t>
            </w:r>
            <w:r w:rsidR="00163A43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A260C6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onsolidarea controlului financiar preventiv</w:t>
            </w:r>
            <w:r w:rsidR="00030473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propriu</w:t>
            </w:r>
            <w:r w:rsidR="00582956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9653A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 implementarea</w:t>
            </w:r>
            <w:r w:rsidR="00582956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unor măsuri specifice</w:t>
            </w:r>
            <w:r w:rsidR="0051146C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A260C6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să </w:t>
            </w:r>
            <w:r w:rsidR="00066E4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E044D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reglementeze incompatibilită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0E044D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ile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0E044D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conflictele de interese </w:t>
            </w:r>
            <w:r w:rsidR="00066E4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aplicabile persoanelor desemnate să exercit</w:t>
            </w:r>
            <w:r w:rsidR="00773E36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controlul financiar preventiv </w:t>
            </w:r>
            <w:r w:rsidR="00066E4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propriu</w:t>
            </w:r>
            <w:r w:rsidR="00030473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A1081C" w:rsidRPr="006C332D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 </w:t>
            </w:r>
            <w:r w:rsidR="00066E4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Solu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066E4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ia aleasă a fost </w:t>
            </w:r>
            <w:r w:rsidR="00F21C64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 regimului juridic al incompatibilită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F21C64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ilor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F21C64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al conflictelor de interese prevăzute pentru func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F21C64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ionarii publici</w:t>
            </w:r>
            <w:r w:rsidR="0047162A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astfel cum sunt 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reglementate acestea</w:t>
            </w:r>
            <w:r w:rsidR="0047162A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Legea nr. 161/2003 privind unele măsuri pentru asigurarea transparen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47162A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 în exercitarea demnită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47162A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ilor publice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47162A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în mediul de afaceri, prevenirea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47162A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sanc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47162A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ionarea corup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47162A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iei, cu modificările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47162A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completările ulterioare,</w:t>
            </w:r>
            <w:r w:rsidR="00257837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21C64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asupra tuturor categoriilor de </w:t>
            </w:r>
            <w:r w:rsidR="0047162A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persoane</w:t>
            </w:r>
            <w:r w:rsidR="00F21C64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desemnate să exercite controlul financiar preventiv propriu la entită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F21C64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ile publice</w:t>
            </w:r>
            <w:r w:rsidR="00773E36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4BA43BAD" w14:textId="1435A2A3" w:rsidR="00283E27" w:rsidRPr="006C332D" w:rsidRDefault="001F36CF" w:rsidP="00303B1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Totodată,</w:t>
            </w:r>
            <w:r w:rsidR="00773E36" w:rsidRP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</w:t>
            </w:r>
            <w:r w:rsidR="00773E36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 fost eliminate din cuprinsul Ordonan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773E36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ei Guvernului nr. 119/1999 prevederile cu privire  la numire, suspendare, destituire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773E36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schimbare a personalului care desfă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773E36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oară activitatea de contro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financiar preventiv propriu, i</w:t>
            </w:r>
            <w:r w:rsidR="00773E36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ntroducându-se prevederi cu privire la desemnarea persoanei care exercit</w:t>
            </w:r>
            <w:r w:rsidR="004A7D5D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773E36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controlul financiar preventiv propriu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773E36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încetarea calită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773E36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 persoană desemnată</w:t>
            </w:r>
            <w:r w:rsidR="003354FF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773E36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acest fel </w:t>
            </w:r>
            <w:r w:rsidR="00184DF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fost îndepărtată </w:t>
            </w:r>
            <w:r w:rsidR="00773E36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suprapunerea peste prevederile Legii nr. 188/1999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4A7D5D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ale Legii nr. 53/2003</w:t>
            </w:r>
            <w:r w:rsidR="003354FF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având în vedere faptul că activitatea de control financiar preventiv</w:t>
            </w:r>
            <w:r w:rsidR="00F4276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propriu</w:t>
            </w:r>
            <w:r w:rsidR="003354FF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reprezintă o atribu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3354FF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 stabilită în sarcina unui </w:t>
            </w:r>
            <w:r w:rsidR="00CC77C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salariat, </w:t>
            </w:r>
            <w:r w:rsidR="003354FF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 fi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3354FF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postului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3354FF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nu o func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3354FF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 publică distinctă.</w:t>
            </w:r>
            <w:r w:rsidR="00145312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60D3BBB4" w14:textId="30B4ABC7" w:rsidR="004E6E69" w:rsidRPr="006C332D" w:rsidRDefault="00145312" w:rsidP="0014531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propunerea Ministerul</w:t>
            </w:r>
            <w:r w:rsidR="00342FF4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ui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Dezvoltării Regionale, Administra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iei Publice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Fondurilor Europene</w:t>
            </w:r>
            <w:r w:rsidR="004E6E69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în scopul clarificării răs</w:t>
            </w:r>
            <w:r w:rsidR="000A7174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</w:t>
            </w:r>
            <w:r w:rsidR="004E6E69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nderii persoanelor care exercită controlul financiar preventiv, a fost eliminată din textul ini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4E6E69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ial sintagma "în raport de culpa lor", modificându-se în mod cores</w:t>
            </w:r>
            <w:r w:rsidR="00342FF4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4E6E69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unzător art. 10 alin. (5)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4E6E69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art. 13 alin. (3) din Ordonan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4E6E69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Guvernului nr. 119/1999. Totodată</w:t>
            </w:r>
            <w:r w:rsidR="000A7174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4E6E69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fost introdus un articol nou cu privire la aprobarea de către ordonatorul de credite a proiectelor de opera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4E6E69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iuni, pe baza certificărilor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4E6E69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342FF4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="004E6E69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sau a avizelor conducătorilor compartimentelor de specialitate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4E6E69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 vizei de control financiar preventiv.</w:t>
            </w:r>
          </w:p>
          <w:p w14:paraId="08828930" w14:textId="48497093" w:rsidR="00303B1A" w:rsidRPr="006C332D" w:rsidRDefault="001F36CF" w:rsidP="00303B1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ionăm faptul că s-au</w:t>
            </w:r>
            <w:r w:rsidR="00AB5FA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reconfigura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="0051749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prevederile</w:t>
            </w:r>
            <w:r w:rsidR="00AB5FA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legale cu privire la activitatea de inspec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AB5FA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 economico – financiară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AB5FA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la cea de solu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AB5FA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ionare a plângerilor prealabile, în raport cu evolu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AB5FAE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 cadrului legal de reglementare</w:t>
            </w:r>
            <w:r w:rsidR="00AB2A8A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scopul exercitării în mod unitar a competen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AB2A8A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elor de control stabilite în sarcina Ministerului Finan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AB2A8A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elor Publice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AB2A8A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</w:t>
            </w:r>
            <w:r w:rsidR="00AB2A8A" w:rsidRP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fectuării de inspec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ț</w:t>
            </w:r>
            <w:r w:rsidR="00AB2A8A" w:rsidRP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ii ori de câte ori există indicii ale unor abateri de la legalitate sau regularitate în efectuarea de opera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ț</w:t>
            </w:r>
            <w:r w:rsidR="00AB2A8A" w:rsidRP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iuni.</w:t>
            </w:r>
            <w:r w:rsidR="00303B1A" w:rsidRPr="006C332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  <w:p w14:paraId="29297016" w14:textId="1F6DF40F" w:rsidR="00AD5659" w:rsidRPr="006C332D" w:rsidRDefault="00AD5659" w:rsidP="00E80B03">
            <w:pPr>
              <w:spacing w:after="0"/>
              <w:jc w:val="both"/>
              <w:rPr>
                <w:sz w:val="24"/>
                <w:szCs w:val="24"/>
              </w:rPr>
            </w:pPr>
            <w:r w:rsidRPr="006C3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Având în vedere Regulamentul UE nr.1303/2013 de stabilire a unor dispozi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ț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ii comune privind Fondurile Europene Structurale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ș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 de Investi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ț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ii, conform căruia fiecare Stat Membru trebuie să garanteze existen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ț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condi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ț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iilor prealabile necesare pentru utilizarea eficace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ș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 eficientă a Fondurilor Europene Structurale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ș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 de Investi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ț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ii,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ș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 </w:t>
            </w:r>
            <w:r w:rsid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ț</w:t>
            </w:r>
            <w:r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inând cont că, în conformitate cu planul de ac</w:t>
            </w:r>
            <w:r w:rsid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ț</w:t>
            </w:r>
            <w:r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iune pentru îndeplinirea condi</w:t>
            </w:r>
            <w:r w:rsid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ț</w:t>
            </w:r>
            <w:r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ionalită</w:t>
            </w:r>
            <w:r w:rsid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ț</w:t>
            </w:r>
            <w:r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ii ex-ante privind achizi</w:t>
            </w:r>
            <w:r w:rsid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ț</w:t>
            </w:r>
            <w:r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iile publice</w:t>
            </w:r>
            <w:r w:rsidRPr="006C332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din Acordul de parteneriat încheiat între Guvernul României </w:t>
            </w:r>
            <w:r w:rsid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ș</w:t>
            </w:r>
            <w:r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i Comisia Europeană la </w:t>
            </w:r>
            <w:r w:rsidR="00005415"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005415"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.08.</w:t>
            </w:r>
            <w:r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2014</w:t>
            </w:r>
            <w:r w:rsidR="005161F1"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ș</w:t>
            </w:r>
            <w:r w:rsidR="005161F1"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 cu</w:t>
            </w:r>
            <w:r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Strategia na</w:t>
            </w:r>
            <w:r w:rsid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ț</w:t>
            </w:r>
            <w:r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ională în domeniul achizi</w:t>
            </w:r>
            <w:r w:rsid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ț</w:t>
            </w:r>
            <w:r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iilor publice aprobată prin H.G. nr.  901/2015, care prevăd unele măsuri specifice pentru întărirea controlului financiar preventiv la autorită</w:t>
            </w:r>
            <w:r w:rsid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ț</w:t>
            </w:r>
            <w:r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ile contractante, se impune adoptarea acestui proiect de act normativ</w:t>
            </w:r>
            <w:r w:rsidR="00F75942"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corespunzător</w:t>
            </w:r>
            <w:r w:rsidR="00CF4F7B"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0B03"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  <w:r w:rsidR="00CF4F7B"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apitolul</w:t>
            </w:r>
            <w:r w:rsidR="005161F1"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ui</w:t>
            </w:r>
            <w:r w:rsidR="00E1440F"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Fonduri </w:t>
            </w:r>
            <w:r w:rsidR="005161F1"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</w:t>
            </w:r>
            <w:r w:rsidR="00E1440F"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uropene din Programul de guvernare 2017-2</w:t>
            </w:r>
            <w:r w:rsidR="00F75942"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E1440F"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 aprobat prin Ho</w:t>
            </w:r>
            <w:r w:rsidR="008E4A1F"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tărârea Parlamentului României n</w:t>
            </w:r>
            <w:r w:rsidR="00E1440F"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r. </w:t>
            </w:r>
            <w:r w:rsidR="005161F1"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</w:t>
            </w:r>
            <w:r w:rsidR="00E1440F"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/2017 pentru acordarea încrederii Guvernului</w:t>
            </w:r>
            <w:r w:rsidRPr="006C3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467BC" w:rsidRPr="006C332D" w14:paraId="3B071DB8" w14:textId="77777777" w:rsidTr="006C332D">
        <w:trPr>
          <w:trHeight w:val="567"/>
        </w:trPr>
        <w:tc>
          <w:tcPr>
            <w:tcW w:w="100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E95FFFD" w14:textId="62E90DEA" w:rsidR="00CC612C" w:rsidRPr="006C332D" w:rsidRDefault="00F21C64" w:rsidP="00573A4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A260C6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Alte informa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="00A260C6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ii </w:t>
            </w:r>
          </w:p>
          <w:p w14:paraId="0CB279CA" w14:textId="77777777" w:rsidR="006C332D" w:rsidRDefault="000430D1" w:rsidP="005161F1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În cazul în care</w:t>
            </w:r>
            <w:r w:rsidR="007E668B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România nu </w:t>
            </w:r>
            <w:r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îndepline</w:t>
            </w:r>
            <w:r w:rsid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ș</w:t>
            </w:r>
            <w:r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te</w:t>
            </w:r>
            <w:r w:rsidR="007E668B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condi</w:t>
            </w:r>
            <w:r w:rsid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ț</w:t>
            </w:r>
            <w:r w:rsidR="007E668B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ionalitatea ex-ante privind achizi</w:t>
            </w:r>
            <w:r w:rsid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ț</w:t>
            </w:r>
            <w:r w:rsidR="007E668B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iile publice, în conformitate cu art. 19 din Regulamentul UE nr. 1303/2013,</w:t>
            </w:r>
            <w:r w:rsidR="002228C7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</w:t>
            </w:r>
            <w:r w:rsidR="00324F87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Comisia Europeană poate decide </w:t>
            </w:r>
            <w:r w:rsidR="007E668B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suspend</w:t>
            </w:r>
            <w:r w:rsidR="00324F87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area</w:t>
            </w:r>
            <w:r w:rsidR="007E668B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plă</w:t>
            </w:r>
            <w:r w:rsid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ț</w:t>
            </w:r>
            <w:r w:rsidR="007E668B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ilor intermediare pentru toate programele opera</w:t>
            </w:r>
            <w:r w:rsid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ț</w:t>
            </w:r>
            <w:r w:rsidR="007E668B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ionale,</w:t>
            </w:r>
            <w:r w:rsidR="007E668B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E668B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afectând implementarea Fondurilor Europene Structurale </w:t>
            </w:r>
            <w:r w:rsid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ș</w:t>
            </w:r>
            <w:r w:rsidR="007E668B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i de Investi</w:t>
            </w:r>
            <w:r w:rsid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ț</w:t>
            </w:r>
            <w:r w:rsidR="007E668B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ii, în valoare de </w:t>
            </w:r>
            <w:r w:rsidR="00266E7C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circa</w:t>
            </w:r>
            <w:r w:rsidR="007E668B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31 miliarde euro, alocate </w:t>
            </w:r>
            <w:r w:rsidR="00266E7C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pentru</w:t>
            </w:r>
            <w:r w:rsidR="007E668B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perioada de programare 2014-202</w:t>
            </w:r>
            <w:r w:rsidR="005161F1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3</w:t>
            </w:r>
            <w:r w:rsidR="007E668B"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.</w:t>
            </w:r>
          </w:p>
          <w:p w14:paraId="6B8A7DC0" w14:textId="35F6E0F9" w:rsidR="00573A44" w:rsidRPr="006C332D" w:rsidRDefault="007E668B" w:rsidP="005161F1">
            <w:pPr>
              <w:pStyle w:val="NoSpacing"/>
              <w:jc w:val="both"/>
              <w:rPr>
                <w:lang w:val="ro-RO"/>
              </w:rPr>
            </w:pPr>
            <w:r w:rsidRPr="006C332D">
              <w:rPr>
                <w:rFonts w:eastAsia="Times New Roman"/>
                <w:lang w:val="ro-RO" w:eastAsia="en-US"/>
              </w:rPr>
              <w:t xml:space="preserve"> </w:t>
            </w:r>
          </w:p>
        </w:tc>
      </w:tr>
      <w:tr w:rsidR="00B467BC" w:rsidRPr="006C332D" w14:paraId="34D2219F" w14:textId="77777777" w:rsidTr="006C332D">
        <w:trPr>
          <w:trHeight w:val="325"/>
        </w:trPr>
        <w:tc>
          <w:tcPr>
            <w:tcW w:w="100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B0BF623" w14:textId="641C9F3C" w:rsidR="00A260C6" w:rsidRPr="006C332D" w:rsidRDefault="00A260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iunea a 3-a</w:t>
            </w:r>
          </w:p>
          <w:p w14:paraId="34EE4B79" w14:textId="77777777" w:rsidR="00A260C6" w:rsidRPr="006C332D" w:rsidRDefault="00A260C6" w:rsidP="00E70C00">
            <w:pPr>
              <w:pStyle w:val="NoSpacing"/>
              <w:jc w:val="center"/>
              <w:rPr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Impactul socio</w:t>
            </w:r>
            <w:r w:rsidR="00612457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economic al </w:t>
            </w:r>
            <w:r w:rsidR="00E70C00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proiectului de 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 normativ</w:t>
            </w:r>
          </w:p>
        </w:tc>
      </w:tr>
      <w:tr w:rsidR="00B467BC" w:rsidRPr="006C332D" w14:paraId="4E327D88" w14:textId="77777777" w:rsidTr="006C332D">
        <w:trPr>
          <w:trHeight w:val="330"/>
        </w:trPr>
        <w:tc>
          <w:tcPr>
            <w:tcW w:w="1006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C60A13B" w14:textId="77777777" w:rsidR="00A260C6" w:rsidRPr="006C332D" w:rsidRDefault="00A260C6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Impactul macroeconomic</w:t>
            </w:r>
          </w:p>
          <w:p w14:paraId="221657C9" w14:textId="7ACA2F38" w:rsidR="00A260C6" w:rsidRPr="006C332D" w:rsidRDefault="007C0565" w:rsidP="002228C7">
            <w:pPr>
              <w:pStyle w:val="NoSpacing"/>
              <w:jc w:val="both"/>
              <w:rPr>
                <w:lang w:val="ro-RO"/>
              </w:rPr>
            </w:pP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Modificarea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</w:t>
            </w:r>
            <w:r w:rsidR="00A260C6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ompletarea Ordonan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A260C6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 Guvernului nr. 119/1999 va conduce la</w:t>
            </w:r>
            <w:r w:rsidR="005209E7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îmbunătă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5209E7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irea </w:t>
            </w:r>
            <w:r w:rsidR="000430D1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controlului financiar preventiv</w:t>
            </w:r>
            <w:r w:rsidR="00266E7C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general,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266E7C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="000430D1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 achizi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0430D1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 publice</w:t>
            </w:r>
            <w:r w:rsidR="00266E7C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special,</w:t>
            </w:r>
            <w:r w:rsidR="005209E7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260C6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prin  angajarea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A260C6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cheltuirea banilor publici cu asigur</w:t>
            </w:r>
            <w:r w:rsidR="002228C7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area legalită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2228C7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regularită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2228C7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2228C7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A260C6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economicită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A260C6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ii, </w:t>
            </w:r>
            <w:r w:rsidR="007E668B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contribuind astfel la realizarea condi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7E668B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ionalită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7E668B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ex-ante privind achizi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7E668B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iile publice.</w:t>
            </w:r>
          </w:p>
        </w:tc>
      </w:tr>
      <w:tr w:rsidR="00B467BC" w:rsidRPr="006C332D" w14:paraId="382CA27A" w14:textId="77777777" w:rsidTr="006C332D">
        <w:trPr>
          <w:trHeight w:val="502"/>
        </w:trPr>
        <w:tc>
          <w:tcPr>
            <w:tcW w:w="10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2069723" w14:textId="59965132" w:rsidR="00A260C6" w:rsidRPr="006C332D" w:rsidRDefault="00F747E2" w:rsidP="00346E9C">
            <w:pPr>
              <w:pStyle w:val="NoSpacing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346E9C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1^1. </w:t>
            </w:r>
            <w:r w:rsidR="00A260C6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Impactul asupra mediului concuren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="00A260C6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ial 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="00A260C6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 domeniului ajutoarelor de stat</w:t>
            </w:r>
          </w:p>
          <w:p w14:paraId="51E0CD31" w14:textId="77777777" w:rsidR="00A260C6" w:rsidRPr="006C332D" w:rsidRDefault="00A260C6">
            <w:pPr>
              <w:pStyle w:val="NoSpacing"/>
              <w:rPr>
                <w:lang w:val="ro-RO"/>
              </w:rPr>
            </w:pPr>
            <w:r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Actul normativ nu se referă la acest subiect.</w:t>
            </w:r>
          </w:p>
        </w:tc>
      </w:tr>
      <w:tr w:rsidR="00B467BC" w:rsidRPr="006C332D" w14:paraId="007B8724" w14:textId="77777777" w:rsidTr="006C332D">
        <w:trPr>
          <w:trHeight w:val="626"/>
        </w:trPr>
        <w:tc>
          <w:tcPr>
            <w:tcW w:w="10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361EC5A" w14:textId="77777777" w:rsidR="00A260C6" w:rsidRPr="006C332D" w:rsidRDefault="00A260C6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Impactul asupra mediului de afaceri</w:t>
            </w:r>
          </w:p>
          <w:p w14:paraId="7EB4FDDA" w14:textId="77777777" w:rsidR="00A260C6" w:rsidRPr="006C332D" w:rsidRDefault="00A260C6">
            <w:pPr>
              <w:pStyle w:val="NoSpacing"/>
              <w:rPr>
                <w:lang w:val="ro-RO"/>
              </w:rPr>
            </w:pP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Actul normativ nu se referă la acest subiect.</w:t>
            </w:r>
          </w:p>
        </w:tc>
      </w:tr>
      <w:tr w:rsidR="00B467BC" w:rsidRPr="006C332D" w14:paraId="11623CFD" w14:textId="77777777" w:rsidTr="006C332D">
        <w:trPr>
          <w:trHeight w:val="626"/>
        </w:trPr>
        <w:tc>
          <w:tcPr>
            <w:tcW w:w="10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DFC15C5" w14:textId="77777777" w:rsidR="00CC612C" w:rsidRPr="006C332D" w:rsidRDefault="00CC612C" w:rsidP="00CC61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2^1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Impactul asupra sarcinilor administrative</w:t>
            </w:r>
          </w:p>
          <w:p w14:paraId="6ADBE80D" w14:textId="77777777" w:rsidR="00CC612C" w:rsidRPr="006C332D" w:rsidRDefault="00CC612C" w:rsidP="00CC61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Actul normativ nu se referă la acest subiect.</w:t>
            </w:r>
          </w:p>
        </w:tc>
      </w:tr>
      <w:tr w:rsidR="00B467BC" w:rsidRPr="006C332D" w14:paraId="5894C6A4" w14:textId="77777777" w:rsidTr="006C332D">
        <w:trPr>
          <w:trHeight w:val="626"/>
        </w:trPr>
        <w:tc>
          <w:tcPr>
            <w:tcW w:w="10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0CA7454" w14:textId="355F3407" w:rsidR="00CC612C" w:rsidRPr="006C332D" w:rsidRDefault="00CC612C" w:rsidP="00CC61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2^2. Impactul asupra întreprinderilor mici 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 mijlocii</w:t>
            </w:r>
          </w:p>
          <w:p w14:paraId="71DD79C1" w14:textId="77777777" w:rsidR="00CC612C" w:rsidRPr="006C332D" w:rsidRDefault="00CC612C" w:rsidP="00CC61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Actul normativ nu se referă la acest subiect.</w:t>
            </w:r>
          </w:p>
        </w:tc>
      </w:tr>
      <w:tr w:rsidR="00B467BC" w:rsidRPr="006C332D" w14:paraId="11627F0E" w14:textId="77777777" w:rsidTr="006C332D">
        <w:trPr>
          <w:trHeight w:val="585"/>
        </w:trPr>
        <w:tc>
          <w:tcPr>
            <w:tcW w:w="10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E956BC0" w14:textId="77777777" w:rsidR="00CC612C" w:rsidRPr="006C332D" w:rsidRDefault="00CC612C" w:rsidP="00CC612C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Impactul social</w:t>
            </w:r>
          </w:p>
          <w:p w14:paraId="25538D5A" w14:textId="77777777" w:rsidR="00CC612C" w:rsidRPr="006C332D" w:rsidRDefault="00CC612C" w:rsidP="00CC612C">
            <w:pPr>
              <w:pStyle w:val="NoSpacing"/>
              <w:rPr>
                <w:lang w:val="ro-RO"/>
              </w:rPr>
            </w:pP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Actul normativ nu se referă la acest subiect.</w:t>
            </w:r>
          </w:p>
        </w:tc>
      </w:tr>
      <w:tr w:rsidR="00B467BC" w:rsidRPr="006C332D" w14:paraId="119324AC" w14:textId="77777777" w:rsidTr="006C332D">
        <w:trPr>
          <w:trHeight w:val="501"/>
        </w:trPr>
        <w:tc>
          <w:tcPr>
            <w:tcW w:w="10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AB0E8E6" w14:textId="77777777" w:rsidR="00CC612C" w:rsidRPr="006C332D" w:rsidRDefault="00CC612C" w:rsidP="00CC612C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Impactul asupra mediului</w:t>
            </w:r>
          </w:p>
          <w:p w14:paraId="3FE3647F" w14:textId="77777777" w:rsidR="00CC612C" w:rsidRPr="006C332D" w:rsidRDefault="00CC612C" w:rsidP="00CC612C">
            <w:pPr>
              <w:pStyle w:val="NoSpacing"/>
              <w:rPr>
                <w:lang w:val="ro-RO"/>
              </w:rPr>
            </w:pP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Actul normativ nu se referă la acest subiect.</w:t>
            </w:r>
          </w:p>
        </w:tc>
      </w:tr>
      <w:tr w:rsidR="00B467BC" w:rsidRPr="006C332D" w14:paraId="773FF36B" w14:textId="77777777" w:rsidTr="006C332D">
        <w:trPr>
          <w:trHeight w:val="345"/>
        </w:trPr>
        <w:tc>
          <w:tcPr>
            <w:tcW w:w="10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4F2875E" w14:textId="1D9AFDFB" w:rsidR="00CC612C" w:rsidRPr="006C332D" w:rsidRDefault="00CC612C" w:rsidP="00CC612C">
            <w:pPr>
              <w:pStyle w:val="NoSpacing"/>
              <w:rPr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  Alte informa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ii 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Nu au fost identificate.</w:t>
            </w:r>
          </w:p>
        </w:tc>
      </w:tr>
      <w:tr w:rsidR="00B467BC" w:rsidRPr="006C332D" w14:paraId="761971C4" w14:textId="77777777" w:rsidTr="006C332D">
        <w:trPr>
          <w:trHeight w:val="1061"/>
        </w:trPr>
        <w:tc>
          <w:tcPr>
            <w:tcW w:w="10064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14:paraId="6B6A3AA4" w14:textId="64C3A32C" w:rsidR="00CC612C" w:rsidRPr="006C332D" w:rsidRDefault="00CC612C" w:rsidP="00CC61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iunea a 4-a</w:t>
            </w:r>
          </w:p>
          <w:p w14:paraId="65589FA2" w14:textId="77777777" w:rsidR="00CC612C" w:rsidRPr="006C332D" w:rsidRDefault="00CC612C" w:rsidP="00CC61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Impactul financiar asupra bugetului general consolidat, atât pe termen scurt,</w:t>
            </w:r>
          </w:p>
          <w:p w14:paraId="13F10603" w14:textId="7D221B40" w:rsidR="00CC612C" w:rsidRPr="006C332D" w:rsidRDefault="00CC612C" w:rsidP="00CC61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pentru anul curent, cât 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 pe termen lung (pe 5 ani)</w:t>
            </w:r>
          </w:p>
          <w:p w14:paraId="208053BE" w14:textId="5A945C3F" w:rsidR="00CC612C" w:rsidRPr="006C332D" w:rsidRDefault="00CC612C" w:rsidP="000602A9">
            <w:pPr>
              <w:pStyle w:val="NoSpacing"/>
              <w:jc w:val="both"/>
              <w:rPr>
                <w:lang w:val="ro-RO"/>
              </w:rPr>
            </w:pPr>
            <w:r w:rsidRPr="006C332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F74623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612C79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</w:t>
            </w:r>
          </w:p>
        </w:tc>
      </w:tr>
      <w:tr w:rsidR="00B467BC" w:rsidRPr="006C332D" w14:paraId="74DC2EC2" w14:textId="77777777" w:rsidTr="006C332D">
        <w:trPr>
          <w:trHeight w:val="531"/>
        </w:trPr>
        <w:tc>
          <w:tcPr>
            <w:tcW w:w="1006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92E72ED" w14:textId="038ED7CB" w:rsidR="00CC612C" w:rsidRPr="006C332D" w:rsidRDefault="00CC612C" w:rsidP="00CC612C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Sec</w:t>
            </w:r>
            <w:r w:rsid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iunea a 5-a</w:t>
            </w:r>
          </w:p>
          <w:p w14:paraId="15FBB85B" w14:textId="0B71B4E8" w:rsidR="00CC612C" w:rsidRPr="006C332D" w:rsidRDefault="00CC612C" w:rsidP="00F50B01">
            <w:pPr>
              <w:pStyle w:val="NoSpacing"/>
              <w:jc w:val="center"/>
              <w:rPr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Efectele </w:t>
            </w:r>
            <w:r w:rsidR="00F50B01"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proiectului de </w:t>
            </w:r>
            <w:r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act normativ asupra legisla</w:t>
            </w:r>
            <w:r w:rsid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iei în vigoare</w:t>
            </w:r>
          </w:p>
        </w:tc>
      </w:tr>
      <w:tr w:rsidR="00B467BC" w:rsidRPr="006C332D" w14:paraId="2FB7F936" w14:textId="77777777" w:rsidTr="006C332D">
        <w:trPr>
          <w:trHeight w:val="2361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AAF0E" w14:textId="77777777" w:rsidR="00CC612C" w:rsidRPr="006C332D" w:rsidRDefault="008F6043" w:rsidP="00CC612C">
            <w:pPr>
              <w:pStyle w:val="NoSpacing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1</w:t>
            </w:r>
            <w:r w:rsidR="00CC612C"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.  Măsuri normative necesare pentru aplicarea prevederilor</w:t>
            </w:r>
            <w:r w:rsidR="00F50B01"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 proiectului de act </w:t>
            </w:r>
            <w:r w:rsidR="00CC612C"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normativ:</w:t>
            </w:r>
          </w:p>
          <w:p w14:paraId="551A7930" w14:textId="77777777" w:rsidR="00F50B01" w:rsidRPr="006C332D" w:rsidRDefault="00F50B01" w:rsidP="00CC612C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A</w:t>
            </w:r>
            <w:r w:rsidR="00CC612C"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cte normative în vigoare ce vor fi </w:t>
            </w:r>
            <w:r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modificate sau abrogate</w:t>
            </w:r>
            <w:r w:rsidR="00CC612C"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, ca urmare a intrării în  vigoare a </w:t>
            </w:r>
            <w:r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proiectului de </w:t>
            </w:r>
            <w:r w:rsidR="00CC612C"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act normativ: </w:t>
            </w:r>
          </w:p>
          <w:p w14:paraId="73A7FCC1" w14:textId="229CE7D3" w:rsidR="00FE71AA" w:rsidRPr="006C332D" w:rsidRDefault="00FE71AA" w:rsidP="007F2468">
            <w:pPr>
              <w:pStyle w:val="NoSpacing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-</w:t>
            </w:r>
            <w:r w:rsidR="00481435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C332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Hotărârea Guvernului nr. 1257/2012 privind organizarea inspec</w:t>
            </w:r>
            <w:r w:rsidR="006C332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iilor </w:t>
            </w:r>
            <w:r w:rsidR="006C332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ș</w:t>
            </w:r>
            <w:r w:rsidRPr="006C332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i stabilirea atribu</w:t>
            </w:r>
            <w:r w:rsidR="006C332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iilor generale în efectuarea acestora în vederea aplicării Ordonan</w:t>
            </w:r>
            <w:r w:rsidR="006C332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ei Guvernului nr.119/1999 privind controlul intern/managerial </w:t>
            </w:r>
            <w:r w:rsidR="006C332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ș</w:t>
            </w:r>
            <w:r w:rsidRPr="006C332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i controlul financiar preventiv;</w:t>
            </w:r>
          </w:p>
          <w:p w14:paraId="0E985B8C" w14:textId="73237C1A" w:rsidR="00FE0E7F" w:rsidRPr="006C332D" w:rsidRDefault="00481435" w:rsidP="007F2468">
            <w:pPr>
              <w:pStyle w:val="NoSpacing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FE0E7F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Ordinul</w:t>
            </w:r>
            <w:r w:rsidR="002228C7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ministrului finan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2228C7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elor publice nr. 923/2014 pentru aprobarea Normelor metodologice generale referitoare la exercitarea controlului financiar preventiv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2228C7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 Codului specific de norme profesionale pentru persoanele care desfă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2228C7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oară activitatea de control financia</w:t>
            </w:r>
            <w:r w:rsidR="00FE0E7F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preventiv propriu, republicat</w:t>
            </w:r>
            <w:r w:rsidR="00FE71AA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05FCBED6" w14:textId="1CB7FF00" w:rsidR="00CC612C" w:rsidRPr="006C332D" w:rsidRDefault="00F50B01" w:rsidP="00CC612C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A</w:t>
            </w:r>
            <w:r w:rsidR="00CC612C"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cte normative ce urmează a fi elaborate în vederea implementării noilor dispozi</w:t>
            </w:r>
            <w:r w:rsid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ț</w:t>
            </w:r>
            <w:r w:rsidR="00CC612C"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ii:</w:t>
            </w:r>
          </w:p>
          <w:p w14:paraId="4C31DB54" w14:textId="77777777" w:rsidR="00CC612C" w:rsidRPr="006C332D" w:rsidRDefault="002228C7" w:rsidP="002228C7">
            <w:pPr>
              <w:pStyle w:val="NoSpacing"/>
              <w:shd w:val="clear" w:color="auto" w:fill="FFFFFF"/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B467BC" w:rsidRPr="006C332D" w14:paraId="31D39FC0" w14:textId="77777777" w:rsidTr="006C332D">
        <w:trPr>
          <w:trHeight w:val="668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6256" w14:textId="44EA7B49" w:rsidR="00CC612C" w:rsidRPr="006C332D" w:rsidRDefault="00CC612C" w:rsidP="00CC612C">
            <w:pPr>
              <w:pStyle w:val="NoSpacing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1^1. Compa</w:t>
            </w:r>
            <w:r w:rsidR="00A615F6"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ti</w:t>
            </w:r>
            <w:r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bilitatea proiectului de act normativ cu legisla</w:t>
            </w:r>
            <w:r w:rsid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ia în domeniul achizi</w:t>
            </w:r>
            <w:r w:rsid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iilor publice</w:t>
            </w:r>
          </w:p>
          <w:p w14:paraId="1E294F4B" w14:textId="684EA8E2" w:rsidR="00CC612C" w:rsidRPr="006C332D" w:rsidRDefault="00B354FC" w:rsidP="00266E7C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</w:t>
            </w:r>
            <w:r w:rsidR="00CC612C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ct normativ </w:t>
            </w:r>
            <w:r w:rsidR="00266E7C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este compatibil cu</w:t>
            </w:r>
            <w:r w:rsidR="00CC612C" w:rsidRPr="006C332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legisla</w:t>
            </w:r>
            <w:r w:rsidR="006C332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ț</w:t>
            </w:r>
            <w:r w:rsidR="00CC612C" w:rsidRPr="006C332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i</w:t>
            </w:r>
            <w:r w:rsidR="00266E7C" w:rsidRPr="006C332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</w:t>
            </w:r>
            <w:r w:rsidR="00CC612C" w:rsidRPr="006C332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6C332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di</w:t>
            </w:r>
            <w:r w:rsidR="00CC612C" w:rsidRPr="006C332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n domeniul achizi</w:t>
            </w:r>
            <w:r w:rsidR="006C332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ț</w:t>
            </w:r>
            <w:r w:rsidR="00CC612C" w:rsidRPr="006C332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iilor publice</w:t>
            </w:r>
            <w:r w:rsidRPr="006C332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.</w:t>
            </w:r>
          </w:p>
        </w:tc>
      </w:tr>
      <w:tr w:rsidR="00B467BC" w:rsidRPr="006C332D" w14:paraId="15E65B78" w14:textId="77777777" w:rsidTr="006C332D">
        <w:trPr>
          <w:trHeight w:val="863"/>
        </w:trPr>
        <w:tc>
          <w:tcPr>
            <w:tcW w:w="10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EA468BC" w14:textId="3F0579B5" w:rsidR="00CC612C" w:rsidRPr="006C332D" w:rsidRDefault="00CC612C" w:rsidP="00CC61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2. Conformitatea actului normativ cu legisla</w:t>
            </w:r>
            <w:r w:rsid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ia comunitară în cazul proiectelor ce transpun prevederi comunitare</w:t>
            </w:r>
          </w:p>
          <w:p w14:paraId="2452C1ED" w14:textId="77777777" w:rsidR="00CC612C" w:rsidRPr="006C332D" w:rsidRDefault="00CC612C" w:rsidP="00CC612C">
            <w:pPr>
              <w:pStyle w:val="NoSpacing"/>
              <w:rPr>
                <w:lang w:val="ro-RO"/>
              </w:rPr>
            </w:pP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Actul normativ nu se referă la acest subiect. </w:t>
            </w:r>
          </w:p>
        </w:tc>
      </w:tr>
      <w:tr w:rsidR="00B467BC" w:rsidRPr="006C332D" w14:paraId="7E558D1F" w14:textId="77777777" w:rsidTr="006C332D">
        <w:trPr>
          <w:trHeight w:val="356"/>
        </w:trPr>
        <w:tc>
          <w:tcPr>
            <w:tcW w:w="10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14FD12D" w14:textId="77777777" w:rsidR="00CC612C" w:rsidRPr="006C332D" w:rsidRDefault="00CC612C" w:rsidP="00CC612C">
            <w:pPr>
              <w:pStyle w:val="NoSpacing"/>
              <w:ind w:left="3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3. Măsuri normative necesare aplicării directe a actelor normative comunitare    </w:t>
            </w:r>
          </w:p>
          <w:p w14:paraId="2E18893C" w14:textId="77777777" w:rsidR="00CC612C" w:rsidRPr="006C332D" w:rsidRDefault="00CC612C" w:rsidP="00CC612C">
            <w:pPr>
              <w:pStyle w:val="NoSpacing"/>
              <w:rPr>
                <w:lang w:val="ro-RO"/>
              </w:rPr>
            </w:pPr>
            <w:r w:rsidRPr="006C33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6C332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Actul normativ</w:t>
            </w:r>
            <w:r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 se referă la acest subiect.  </w:t>
            </w:r>
          </w:p>
        </w:tc>
      </w:tr>
      <w:tr w:rsidR="00B467BC" w:rsidRPr="006C332D" w14:paraId="43DFA8AF" w14:textId="77777777" w:rsidTr="006C332D">
        <w:trPr>
          <w:trHeight w:val="315"/>
        </w:trPr>
        <w:tc>
          <w:tcPr>
            <w:tcW w:w="10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313E5A9" w14:textId="043DD93D" w:rsidR="00CC612C" w:rsidRPr="006C332D" w:rsidRDefault="00CC612C" w:rsidP="00CC612C">
            <w:pPr>
              <w:pStyle w:val="NoSpacing"/>
              <w:ind w:hanging="36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4. </w:t>
            </w:r>
            <w:r w:rsidR="00B354FC"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  4. </w:t>
            </w:r>
            <w:r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Hotărâri ale Cur</w:t>
            </w:r>
            <w:r w:rsid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ii de Justi</w:t>
            </w:r>
            <w:r w:rsid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ie a  Uniunii Europene </w:t>
            </w:r>
          </w:p>
          <w:p w14:paraId="1D5E4090" w14:textId="77777777" w:rsidR="00CC612C" w:rsidRPr="006C332D" w:rsidRDefault="00B354FC" w:rsidP="00B354FC">
            <w:pPr>
              <w:pStyle w:val="NoSpacing"/>
              <w:rPr>
                <w:lang w:val="ro-RO"/>
              </w:rPr>
            </w:pP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Nu este cazul</w:t>
            </w:r>
            <w:r w:rsidR="00CC612C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    </w:t>
            </w:r>
          </w:p>
        </w:tc>
      </w:tr>
      <w:tr w:rsidR="00B467BC" w:rsidRPr="006C332D" w14:paraId="56FC3B8F" w14:textId="77777777" w:rsidTr="006C332D">
        <w:trPr>
          <w:trHeight w:val="195"/>
        </w:trPr>
        <w:tc>
          <w:tcPr>
            <w:tcW w:w="10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6570947" w14:textId="0BDB0B3B" w:rsidR="00CC612C" w:rsidRPr="006C332D" w:rsidRDefault="00CC612C" w:rsidP="00CC612C">
            <w:pPr>
              <w:pStyle w:val="NoSpacing"/>
              <w:ind w:hanging="36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5. </w:t>
            </w:r>
            <w:r w:rsidR="00B354FC"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  5. </w:t>
            </w:r>
            <w:r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Alte acte normative </w:t>
            </w:r>
            <w:r w:rsid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ș</w:t>
            </w:r>
            <w:r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i/sau documente interna</w:t>
            </w:r>
            <w:r w:rsid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ionale din care decurg angajamente</w:t>
            </w:r>
          </w:p>
          <w:p w14:paraId="040BE27B" w14:textId="77777777" w:rsidR="00CC612C" w:rsidRPr="006C332D" w:rsidRDefault="00B354FC" w:rsidP="00B354FC">
            <w:pPr>
              <w:pStyle w:val="NoSpacing"/>
              <w:rPr>
                <w:lang w:val="ro-RO"/>
              </w:rPr>
            </w:pP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</w:t>
            </w:r>
            <w:r w:rsidR="00CC612C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CC612C"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        </w:t>
            </w:r>
          </w:p>
        </w:tc>
      </w:tr>
      <w:tr w:rsidR="00B467BC" w:rsidRPr="006C332D" w14:paraId="17ADBEF1" w14:textId="77777777" w:rsidTr="006C332D">
        <w:trPr>
          <w:trHeight w:val="230"/>
        </w:trPr>
        <w:tc>
          <w:tcPr>
            <w:tcW w:w="100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585C39A" w14:textId="36842EAA" w:rsidR="00CC612C" w:rsidRPr="006C332D" w:rsidRDefault="00CC612C" w:rsidP="00CC612C">
            <w:pPr>
              <w:pStyle w:val="NoSpacing"/>
              <w:rPr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lastRenderedPageBreak/>
              <w:t>6. Alte informa</w:t>
            </w:r>
            <w:r w:rsid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ii </w:t>
            </w:r>
          </w:p>
        </w:tc>
      </w:tr>
      <w:tr w:rsidR="00B467BC" w:rsidRPr="006C332D" w14:paraId="2AB9ABC9" w14:textId="77777777" w:rsidTr="006C332D">
        <w:trPr>
          <w:trHeight w:val="690"/>
        </w:trPr>
        <w:tc>
          <w:tcPr>
            <w:tcW w:w="1006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F82EEC6" w14:textId="5E456292" w:rsidR="00CC612C" w:rsidRPr="006C332D" w:rsidRDefault="00CC612C" w:rsidP="00CC61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iunea a 6-a</w:t>
            </w:r>
          </w:p>
          <w:p w14:paraId="5D0F3038" w14:textId="77777777" w:rsidR="00CC612C" w:rsidRPr="006C332D" w:rsidRDefault="00CC612C" w:rsidP="00B354FC">
            <w:pPr>
              <w:pStyle w:val="NoSpacing"/>
              <w:jc w:val="center"/>
              <w:rPr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Consultările efectuate în vederea elaborării </w:t>
            </w:r>
            <w:r w:rsidR="00B354FC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proiectului de 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 normativ</w:t>
            </w:r>
          </w:p>
        </w:tc>
      </w:tr>
      <w:tr w:rsidR="00B467BC" w:rsidRPr="006C332D" w14:paraId="17155408" w14:textId="77777777" w:rsidTr="006C332D">
        <w:trPr>
          <w:trHeight w:val="707"/>
        </w:trPr>
        <w:tc>
          <w:tcPr>
            <w:tcW w:w="10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00016E3" w14:textId="5F7FA27B" w:rsidR="00CC612C" w:rsidRPr="006C332D" w:rsidRDefault="00CC612C" w:rsidP="00CC61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 Informa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 privind procesul de consultare cu organiza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ii  neguvernamentale, institute de cercetare 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 alte organisme implicate </w:t>
            </w:r>
          </w:p>
          <w:p w14:paraId="0E7AC647" w14:textId="77777777" w:rsidR="00CC612C" w:rsidRPr="006C332D" w:rsidRDefault="00CC612C" w:rsidP="00CC612C">
            <w:pPr>
              <w:pStyle w:val="NoSpacing"/>
              <w:rPr>
                <w:lang w:val="ro-RO"/>
              </w:rPr>
            </w:pP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Actul normativ nu se referă la acest subiect.</w:t>
            </w:r>
            <w:r w:rsidRPr="006C33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        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</w:tr>
      <w:tr w:rsidR="00B467BC" w:rsidRPr="006C332D" w14:paraId="454E35E5" w14:textId="77777777" w:rsidTr="006C332D">
        <w:trPr>
          <w:trHeight w:val="435"/>
        </w:trPr>
        <w:tc>
          <w:tcPr>
            <w:tcW w:w="10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8458043" w14:textId="2DBF0333" w:rsidR="00CC612C" w:rsidRPr="006C332D" w:rsidRDefault="00CC612C" w:rsidP="00CC612C">
            <w:pPr>
              <w:pStyle w:val="NoSpacing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Fundamentarea alegerii organiza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iilor cu care a avut loc consultarea, precum 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 a modului în care activitatea acestor organiza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 este legată de  obiectul actului normativ</w:t>
            </w:r>
          </w:p>
          <w:p w14:paraId="0D565D83" w14:textId="77777777" w:rsidR="00CC612C" w:rsidRPr="006C332D" w:rsidRDefault="00CC612C" w:rsidP="00CC612C">
            <w:pPr>
              <w:pStyle w:val="NoSpacing"/>
              <w:rPr>
                <w:lang w:val="ro-RO"/>
              </w:rPr>
            </w:pP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Actul normativ nu se referă la acest subiect.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</w:tr>
      <w:tr w:rsidR="00B467BC" w:rsidRPr="006C332D" w14:paraId="64FFBA69" w14:textId="77777777" w:rsidTr="006C332D">
        <w:trPr>
          <w:trHeight w:val="424"/>
        </w:trPr>
        <w:tc>
          <w:tcPr>
            <w:tcW w:w="10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4765AB8" w14:textId="000E0A45" w:rsidR="00CC612C" w:rsidRPr="006C332D" w:rsidRDefault="00CC612C" w:rsidP="00CC612C">
            <w:pPr>
              <w:pStyle w:val="NoSpacing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Consultările organizate cu autorită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ile administra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iei publice locale, în situa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ia în care proiectul de act normativ are ca obiect activită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 ale acestor autorită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i, în condi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iile Hotărârii Guvernului nr. 521/2005 privind procedura de consultare a structurilor asociative ale autorită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ilor administra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iei publice locale la elaborarea proiectelor de acte normative</w:t>
            </w:r>
          </w:p>
          <w:p w14:paraId="2B833E74" w14:textId="25B6B3C2" w:rsidR="00CC612C" w:rsidRPr="006C332D" w:rsidRDefault="00CC612C" w:rsidP="008A0C36">
            <w:pPr>
              <w:pStyle w:val="NoSpacing"/>
              <w:rPr>
                <w:lang w:val="ro-RO"/>
              </w:rPr>
            </w:pP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Actul normativ nu </w:t>
            </w:r>
            <w:r w:rsidR="008A0C36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prive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8A0C36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mod direct autorită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</w:t>
            </w:r>
            <w:r w:rsidR="008A0C36"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administra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 publice locale.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</w:t>
            </w:r>
          </w:p>
        </w:tc>
      </w:tr>
      <w:tr w:rsidR="00B467BC" w:rsidRPr="006C332D" w14:paraId="777D7905" w14:textId="77777777" w:rsidTr="006C332D">
        <w:trPr>
          <w:trHeight w:val="704"/>
        </w:trPr>
        <w:tc>
          <w:tcPr>
            <w:tcW w:w="10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19F38EB" w14:textId="3BF5931E" w:rsidR="00CC612C" w:rsidRPr="006C332D" w:rsidRDefault="00CC612C" w:rsidP="00CC612C">
            <w:pPr>
              <w:pStyle w:val="NoSpacing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Consultările desfă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urate în cadrul consiliilor interministeriale, în conformitate cu prevederile Hotărârii Guvernului nr. 750/2005 privind constituirea consiliilor interministeriale permanente</w:t>
            </w:r>
          </w:p>
          <w:p w14:paraId="145762FE" w14:textId="77777777" w:rsidR="00CC612C" w:rsidRPr="006C332D" w:rsidRDefault="00CC612C" w:rsidP="00CC612C">
            <w:pPr>
              <w:pStyle w:val="NoSpacing"/>
              <w:rPr>
                <w:lang w:val="ro-RO"/>
              </w:rPr>
            </w:pP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Actul normativ nu se referă la acest subiect.                      </w:t>
            </w:r>
          </w:p>
        </w:tc>
      </w:tr>
      <w:tr w:rsidR="00B467BC" w:rsidRPr="006C332D" w14:paraId="423D840E" w14:textId="77777777" w:rsidTr="006C332D">
        <w:trPr>
          <w:trHeight w:val="1729"/>
        </w:trPr>
        <w:tc>
          <w:tcPr>
            <w:tcW w:w="10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398B159" w14:textId="3F88B981" w:rsidR="00CC612C" w:rsidRPr="006C332D" w:rsidRDefault="00CC612C" w:rsidP="00CC612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  Informa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ii privind avizarea de către: </w:t>
            </w:r>
          </w:p>
          <w:p w14:paraId="33D878FA" w14:textId="1AECD022" w:rsidR="00CC612C" w:rsidRPr="006C332D" w:rsidRDefault="00CC612C" w:rsidP="00CC612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  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a) Consiliul Legislativ</w:t>
            </w:r>
            <w:r w:rsidR="002870C9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- 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2870C9" w:rsidRPr="006C332D">
              <w:rPr>
                <w:rFonts w:ascii="Helv" w:hAnsi="Helv" w:cs="Helv"/>
                <w:sz w:val="20"/>
                <w:szCs w:val="20"/>
                <w:lang w:val="ro-RO"/>
              </w:rPr>
              <w:t xml:space="preserve">este necesar </w:t>
            </w:r>
            <w:r w:rsidR="006C332D" w:rsidRPr="006C332D">
              <w:rPr>
                <w:rFonts w:ascii="Helv" w:hAnsi="Helv" w:cs="Helv"/>
                <w:sz w:val="20"/>
                <w:szCs w:val="20"/>
                <w:lang w:val="ro-RO"/>
              </w:rPr>
              <w:t>obținerea</w:t>
            </w:r>
            <w:r w:rsidR="002870C9" w:rsidRPr="006C332D">
              <w:rPr>
                <w:rFonts w:ascii="Helv" w:hAnsi="Helv" w:cs="Helv"/>
                <w:sz w:val="20"/>
                <w:szCs w:val="20"/>
                <w:lang w:val="ro-RO"/>
              </w:rPr>
              <w:t xml:space="preserve"> avizu</w:t>
            </w:r>
            <w:r w:rsidR="00880EAA" w:rsidRPr="006C332D">
              <w:rPr>
                <w:rFonts w:ascii="Helv" w:hAnsi="Helv" w:cs="Helv"/>
                <w:sz w:val="20"/>
                <w:szCs w:val="20"/>
                <w:lang w:val="ro-RO"/>
              </w:rPr>
              <w:t>lui</w:t>
            </w:r>
            <w:r w:rsidR="002870C9" w:rsidRPr="006C332D">
              <w:rPr>
                <w:rFonts w:ascii="Helv" w:hAnsi="Helv" w:cs="Helv"/>
                <w:sz w:val="20"/>
                <w:szCs w:val="20"/>
                <w:lang w:val="ro-RO"/>
              </w:rPr>
              <w:t xml:space="preserve"> de la  Consiliu</w:t>
            </w:r>
            <w:r w:rsidR="00880EAA" w:rsidRPr="006C332D">
              <w:rPr>
                <w:rFonts w:ascii="Helv" w:hAnsi="Helv" w:cs="Helv"/>
                <w:sz w:val="20"/>
                <w:szCs w:val="20"/>
                <w:lang w:val="ro-RO"/>
              </w:rPr>
              <w:t>l</w:t>
            </w:r>
            <w:r w:rsidR="002870C9" w:rsidRPr="006C332D">
              <w:rPr>
                <w:rFonts w:ascii="Helv" w:hAnsi="Helv" w:cs="Helv"/>
                <w:sz w:val="20"/>
                <w:szCs w:val="20"/>
                <w:lang w:val="ro-RO"/>
              </w:rPr>
              <w:t xml:space="preserve"> Legislativ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                </w:t>
            </w:r>
          </w:p>
          <w:p w14:paraId="12A5D9E7" w14:textId="15199365" w:rsidR="00CC612C" w:rsidRPr="006C332D" w:rsidRDefault="00CC612C" w:rsidP="00CC612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   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b) Consiliul Suprem de Apărare a 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ării</w:t>
            </w:r>
          </w:p>
          <w:p w14:paraId="7FA5268A" w14:textId="127E8018" w:rsidR="00CC612C" w:rsidRPr="006C332D" w:rsidRDefault="00CC612C" w:rsidP="00CC612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   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c) Consiliul Economic 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 Social</w:t>
            </w:r>
          </w:p>
          <w:p w14:paraId="7DC4821A" w14:textId="37C2D2F2" w:rsidR="00CC612C" w:rsidRPr="006C332D" w:rsidRDefault="00CC612C" w:rsidP="00CC612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   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d) Consiliul Concuren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ei</w:t>
            </w:r>
          </w:p>
          <w:p w14:paraId="76C016F4" w14:textId="77777777" w:rsidR="00CC612C" w:rsidRPr="006C332D" w:rsidRDefault="00CC612C" w:rsidP="00CC612C">
            <w:pPr>
              <w:pStyle w:val="NoSpacing"/>
              <w:jc w:val="both"/>
              <w:rPr>
                <w:lang w:val="ro-RO"/>
              </w:rPr>
            </w:pPr>
            <w:r w:rsidRPr="006C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   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e) Curtea de Conturi </w:t>
            </w:r>
            <w:r w:rsidR="00BE3DFF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</w:tr>
      <w:tr w:rsidR="00B467BC" w:rsidRPr="006C332D" w14:paraId="0E2E7C16" w14:textId="77777777" w:rsidTr="006C332D">
        <w:trPr>
          <w:trHeight w:val="311"/>
        </w:trPr>
        <w:tc>
          <w:tcPr>
            <w:tcW w:w="100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CFFD8D7" w14:textId="10EE6D2F" w:rsidR="00CC612C" w:rsidRPr="006C332D" w:rsidRDefault="00831CE4" w:rsidP="00831CE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6.  </w:t>
            </w:r>
            <w:r w:rsidR="00CC612C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Alte informa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="00CC612C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</w:t>
            </w:r>
            <w:r w:rsidR="008F6043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="00CC612C"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B467BC" w:rsidRPr="006C332D" w14:paraId="212B07D1" w14:textId="77777777" w:rsidTr="006C332D">
        <w:trPr>
          <w:trHeight w:val="568"/>
        </w:trPr>
        <w:tc>
          <w:tcPr>
            <w:tcW w:w="1006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85B1283" w14:textId="07DD637B" w:rsidR="00CC612C" w:rsidRPr="006C332D" w:rsidRDefault="00CC612C" w:rsidP="00CC61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iunea a 7-a</w:t>
            </w:r>
          </w:p>
          <w:p w14:paraId="48E2001C" w14:textId="44F22DA6" w:rsidR="00CC612C" w:rsidRPr="006C332D" w:rsidRDefault="00CC612C" w:rsidP="00CC612C">
            <w:pPr>
              <w:pStyle w:val="NoSpacing"/>
              <w:jc w:val="center"/>
              <w:rPr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 de informare publică privind elaborarea 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 implementarea actului normativ</w:t>
            </w:r>
          </w:p>
        </w:tc>
      </w:tr>
      <w:tr w:rsidR="00B467BC" w:rsidRPr="006C332D" w14:paraId="6F2E444D" w14:textId="77777777" w:rsidTr="006C332D">
        <w:trPr>
          <w:trHeight w:val="330"/>
        </w:trPr>
        <w:tc>
          <w:tcPr>
            <w:tcW w:w="10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AD7A802" w14:textId="034747DB" w:rsidR="00CC612C" w:rsidRPr="006C332D" w:rsidRDefault="00CC612C" w:rsidP="008F6043">
            <w:pPr>
              <w:pStyle w:val="NoSpacing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1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Informarea societă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ii civile cu privire la necesitatea elaborării actului normativ </w:t>
            </w:r>
          </w:p>
          <w:p w14:paraId="0E55085B" w14:textId="00260E9C" w:rsidR="00CC612C" w:rsidRPr="006C332D" w:rsidRDefault="00880EAA" w:rsidP="00CC612C">
            <w:pPr>
              <w:pStyle w:val="NoSpacing"/>
              <w:rPr>
                <w:lang w:val="ro-RO"/>
              </w:rPr>
            </w:pP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ionăm că au fost întreprinse demersurile legale prevăzute de art. 7 alin. (1) din  Regulamentul privind procedurile, la nivelul Guvernului, pentru elaborarea, avizarea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prezentarea proiectelor de documente de politici publice, a proiectelor de acte normative, precum 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 altor documente, în vederea adoptării/aprobării, aprobat prin Hotărârea Guvernului nr. 561/2009. Au fost respectate dispozi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iile Legii nr. 52/2003 privind transparen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decizională în administra</w:t>
            </w:r>
            <w:r w:rsid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publică, republicată.</w:t>
            </w:r>
          </w:p>
        </w:tc>
      </w:tr>
      <w:tr w:rsidR="00B467BC" w:rsidRPr="006C332D" w14:paraId="17D17BC3" w14:textId="77777777" w:rsidTr="006C332D">
        <w:trPr>
          <w:trHeight w:val="697"/>
        </w:trPr>
        <w:tc>
          <w:tcPr>
            <w:tcW w:w="10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CFF357B" w14:textId="557C71AD" w:rsidR="00CC612C" w:rsidRPr="006C332D" w:rsidRDefault="00CC612C" w:rsidP="008F6043">
            <w:pPr>
              <w:pStyle w:val="NoSpacing"/>
              <w:numPr>
                <w:ilvl w:val="0"/>
                <w:numId w:val="1"/>
              </w:numPr>
              <w:tabs>
                <w:tab w:val="left" w:pos="311"/>
              </w:tabs>
              <w:ind w:left="7" w:hanging="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Informarea societă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ii civile cu privire la eventualul impact asupra mediului în urma implementării actului normativ, precum 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 efectele asupra sănătă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ii 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 securită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  cetă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enilor sau diversită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 biologice</w:t>
            </w:r>
          </w:p>
          <w:p w14:paraId="45B3A519" w14:textId="77777777" w:rsidR="00CC612C" w:rsidRPr="006C332D" w:rsidRDefault="00CC612C" w:rsidP="00CC612C">
            <w:pPr>
              <w:pStyle w:val="NoSpacing"/>
              <w:jc w:val="both"/>
              <w:rPr>
                <w:lang w:val="ro-RO"/>
              </w:rPr>
            </w:pP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Actul normativ nu se referă la acest subiect. </w:t>
            </w:r>
          </w:p>
        </w:tc>
      </w:tr>
      <w:tr w:rsidR="00B467BC" w:rsidRPr="006C332D" w14:paraId="5544E5D6" w14:textId="77777777" w:rsidTr="006C332D">
        <w:trPr>
          <w:trHeight w:val="345"/>
        </w:trPr>
        <w:tc>
          <w:tcPr>
            <w:tcW w:w="100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A85ACD9" w14:textId="4398077F" w:rsidR="00CC612C" w:rsidRPr="006C332D" w:rsidRDefault="00CC612C" w:rsidP="00CC612C">
            <w:pPr>
              <w:pStyle w:val="NoSpacing"/>
              <w:jc w:val="both"/>
              <w:rPr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  Alte informa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ii  </w:t>
            </w:r>
          </w:p>
        </w:tc>
      </w:tr>
      <w:tr w:rsidR="00B467BC" w:rsidRPr="006C332D" w14:paraId="028A8F2D" w14:textId="77777777" w:rsidTr="006C332D">
        <w:trPr>
          <w:trHeight w:val="542"/>
        </w:trPr>
        <w:tc>
          <w:tcPr>
            <w:tcW w:w="1006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F3216E3" w14:textId="3B92AF06" w:rsidR="00CC612C" w:rsidRPr="006C332D" w:rsidRDefault="00CC612C" w:rsidP="00CC61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iunea a 8-a</w:t>
            </w:r>
          </w:p>
          <w:p w14:paraId="4FA4DBA1" w14:textId="77777777" w:rsidR="00CC612C" w:rsidRPr="006C332D" w:rsidRDefault="00CC612C" w:rsidP="00CC6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Măsuri de implementare</w:t>
            </w:r>
          </w:p>
        </w:tc>
      </w:tr>
      <w:tr w:rsidR="00B467BC" w:rsidRPr="006C332D" w14:paraId="3FA8110F" w14:textId="77777777" w:rsidTr="006C332D">
        <w:trPr>
          <w:trHeight w:val="818"/>
        </w:trPr>
        <w:tc>
          <w:tcPr>
            <w:tcW w:w="10064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14:paraId="18A3631A" w14:textId="0AB98AF6" w:rsidR="00CC612C" w:rsidRPr="006C332D" w:rsidRDefault="008F6043" w:rsidP="00CC612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 Măsurile de punere în aplicare a proiectului de act normativ de către autorită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ile administra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iei publice centrale 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i/sau locale-înfiin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area unor noi organisme sau extinderea competen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elor institu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iilor existente</w:t>
            </w:r>
          </w:p>
          <w:p w14:paraId="4F1DA74D" w14:textId="77777777" w:rsidR="008F6043" w:rsidRPr="006C332D" w:rsidRDefault="00BA3FA6" w:rsidP="00CC612C">
            <w:pPr>
              <w:pStyle w:val="NoSpacing"/>
              <w:jc w:val="both"/>
              <w:rPr>
                <w:lang w:val="ro-RO"/>
              </w:rPr>
            </w:pPr>
            <w:r w:rsidRPr="006C3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B467BC" w:rsidRPr="006C332D" w14:paraId="6D2826E7" w14:textId="77777777" w:rsidTr="006C332D">
        <w:trPr>
          <w:trHeight w:val="274"/>
        </w:trPr>
        <w:tc>
          <w:tcPr>
            <w:tcW w:w="10064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DA34F5B" w14:textId="74F20B31" w:rsidR="008F6043" w:rsidRPr="006C332D" w:rsidRDefault="008F6043" w:rsidP="008F604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 Alte informa</w:t>
            </w:r>
            <w:r w:rsid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ii: </w:t>
            </w:r>
          </w:p>
        </w:tc>
      </w:tr>
      <w:tr w:rsidR="00B467BC" w:rsidRPr="006C332D" w14:paraId="4BBBC160" w14:textId="77777777" w:rsidTr="006C332D">
        <w:tc>
          <w:tcPr>
            <w:tcW w:w="10064" w:type="dxa"/>
            <w:shd w:val="clear" w:color="auto" w:fill="auto"/>
          </w:tcPr>
          <w:p w14:paraId="5B2178D6" w14:textId="77777777" w:rsidR="006C332D" w:rsidRDefault="006C332D"/>
          <w:tbl>
            <w:tblPr>
              <w:tblW w:w="10563" w:type="dxa"/>
              <w:tblLayout w:type="fixed"/>
              <w:tblLook w:val="0000" w:firstRow="0" w:lastRow="0" w:firstColumn="0" w:lastColumn="0" w:noHBand="0" w:noVBand="0"/>
            </w:tblPr>
            <w:tblGrid>
              <w:gridCol w:w="10563"/>
            </w:tblGrid>
            <w:tr w:rsidR="00B467BC" w:rsidRPr="006C332D" w14:paraId="5F778C63" w14:textId="77777777" w:rsidTr="00CB5F3F">
              <w:tc>
                <w:tcPr>
                  <w:tcW w:w="10563" w:type="dxa"/>
                  <w:shd w:val="clear" w:color="auto" w:fill="auto"/>
                </w:tcPr>
                <w:p w14:paraId="38696BBF" w14:textId="34C470EB" w:rsidR="00A260C6" w:rsidRPr="006C332D" w:rsidRDefault="000438B5" w:rsidP="000438B5">
                  <w:pPr>
                    <w:pStyle w:val="NoSpacing"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6C33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 xml:space="preserve">Ca urmare a celor expuse mai sus, a fost </w:t>
                  </w:r>
                  <w:r w:rsidR="0051146C" w:rsidRPr="006C33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elaborat proiectul de </w:t>
                  </w:r>
                  <w:r w:rsidRPr="006C33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lege</w:t>
                  </w:r>
                  <w:r w:rsidR="00A260C6" w:rsidRPr="006C33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pentru </w:t>
                  </w:r>
                  <w:r w:rsidR="00C6716D" w:rsidRPr="006C33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modificarea </w:t>
                  </w:r>
                  <w:r w:rsidR="006C33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ș</w:t>
                  </w:r>
                  <w:r w:rsidR="00C6716D" w:rsidRPr="006C33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i </w:t>
                  </w:r>
                  <w:r w:rsidR="00A260C6" w:rsidRPr="006C332D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ro-RO"/>
                    </w:rPr>
                    <w:t>completarea Ordonan</w:t>
                  </w:r>
                  <w:r w:rsidR="006C332D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ro-RO"/>
                    </w:rPr>
                    <w:t>ț</w:t>
                  </w:r>
                  <w:r w:rsidR="00A260C6" w:rsidRPr="006C332D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ei Guvernului nr. 119/1999 privind controlul intern/managerial </w:t>
                  </w:r>
                  <w:r w:rsidR="006C332D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ro-RO"/>
                    </w:rPr>
                    <w:t>ș</w:t>
                  </w:r>
                  <w:r w:rsidR="00A260C6" w:rsidRPr="006C332D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ro-RO"/>
                    </w:rPr>
                    <w:t>i controlul financiar preventiv</w:t>
                  </w:r>
                  <w:r w:rsidRPr="006C332D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ro-RO"/>
                    </w:rPr>
                    <w:t>, pe care îl supunem spre aprobare</w:t>
                  </w:r>
                  <w:r w:rsidR="00A260C6" w:rsidRPr="006C33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.</w:t>
                  </w:r>
                </w:p>
                <w:p w14:paraId="0088887C" w14:textId="77777777" w:rsidR="00F11033" w:rsidRPr="006C332D" w:rsidRDefault="00F11033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14:paraId="7A5A9BDB" w14:textId="77777777" w:rsidR="00031917" w:rsidRPr="006C332D" w:rsidRDefault="00031917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14:paraId="5FBB895D" w14:textId="77777777" w:rsidR="00031917" w:rsidRPr="006C332D" w:rsidRDefault="00031917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14:paraId="3F053875" w14:textId="77777777" w:rsidR="00031917" w:rsidRPr="006C332D" w:rsidRDefault="00031917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14:paraId="14340281" w14:textId="6C3F96D0" w:rsidR="00A260C6" w:rsidRPr="006C332D" w:rsidRDefault="00A260C6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6C33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M</w:t>
                  </w:r>
                  <w:r w:rsidR="00EC562E" w:rsidRPr="006C33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inistrul Finan</w:t>
                  </w:r>
                  <w:r w:rsidR="006C33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ț</w:t>
                  </w:r>
                  <w:r w:rsidR="00EC562E" w:rsidRPr="006C33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elor Publice</w:t>
                  </w:r>
                  <w:r w:rsidR="005D78EC" w:rsidRPr="006C33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,</w:t>
                  </w:r>
                </w:p>
                <w:p w14:paraId="7D667873" w14:textId="1FA74CB3" w:rsidR="006F5485" w:rsidRPr="006C332D" w:rsidRDefault="00294397" w:rsidP="006F5485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6C33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Ionu</w:t>
                  </w:r>
                  <w:r w:rsidR="006C33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ț</w:t>
                  </w:r>
                  <w:r w:rsidRPr="006C33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MI</w:t>
                  </w:r>
                  <w:r w:rsidR="006C33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Ș</w:t>
                  </w:r>
                  <w:r w:rsidRPr="006C33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A</w:t>
                  </w:r>
                </w:p>
                <w:p w14:paraId="4653BE64" w14:textId="77777777" w:rsidR="00283E27" w:rsidRPr="006C332D" w:rsidRDefault="00283E27" w:rsidP="00E67C61">
                  <w:pPr>
                    <w:pStyle w:val="NoSpacing"/>
                    <w:ind w:left="-8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14:paraId="6CA1DC7D" w14:textId="77777777" w:rsidR="00031917" w:rsidRPr="006C332D" w:rsidRDefault="00031917" w:rsidP="006C332D">
                  <w:pPr>
                    <w:pStyle w:val="NoSpacing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14:paraId="01B031EA" w14:textId="77777777" w:rsidR="0089131D" w:rsidRPr="006C332D" w:rsidRDefault="0089131D" w:rsidP="00E67C61">
                  <w:pPr>
                    <w:pStyle w:val="NoSpacing"/>
                    <w:ind w:left="-8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4C0A9C5C" w14:textId="77777777" w:rsidR="00F11033" w:rsidRPr="006C332D" w:rsidRDefault="00F11033" w:rsidP="006F54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  <w:p w14:paraId="2E25956A" w14:textId="43DAFFED" w:rsidR="006C332D" w:rsidRDefault="006F5485" w:rsidP="006C33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Avizăm favorabil:</w:t>
            </w:r>
          </w:p>
          <w:p w14:paraId="741B05D5" w14:textId="12637235" w:rsidR="00E90D6A" w:rsidRPr="006C332D" w:rsidRDefault="00E90D6A" w:rsidP="006C332D">
            <w:pPr>
              <w:pStyle w:val="NoSpacing"/>
              <w:rPr>
                <w:rFonts w:ascii="Arial" w:hAnsi="Arial" w:cs="Arial"/>
                <w:lang w:val="ro-RO"/>
              </w:rPr>
            </w:pPr>
          </w:p>
        </w:tc>
      </w:tr>
    </w:tbl>
    <w:p w14:paraId="4E1D439C" w14:textId="77777777" w:rsidR="00F11033" w:rsidRPr="006C332D" w:rsidRDefault="00A260C6" w:rsidP="006F5485">
      <w:pPr>
        <w:pStyle w:val="NoSpacing"/>
        <w:jc w:val="both"/>
        <w:rPr>
          <w:rFonts w:ascii="Arial" w:eastAsia="Times New Roman Bold" w:hAnsi="Arial" w:cs="Arial"/>
          <w:b/>
          <w:lang w:val="ro-RO"/>
        </w:rPr>
      </w:pPr>
      <w:r w:rsidRPr="006C332D">
        <w:rPr>
          <w:rFonts w:ascii="Arial" w:eastAsia="Times New Roman Bold" w:hAnsi="Arial" w:cs="Arial"/>
          <w:b/>
          <w:lang w:val="ro-RO"/>
        </w:rPr>
        <w:lastRenderedPageBreak/>
        <w:t xml:space="preserve">    </w:t>
      </w:r>
      <w:r w:rsidR="00754618" w:rsidRPr="006C332D">
        <w:rPr>
          <w:rFonts w:ascii="Arial" w:eastAsia="Times New Roman Bold" w:hAnsi="Arial" w:cs="Arial"/>
          <w:b/>
          <w:lang w:val="ro-RO"/>
        </w:rPr>
        <w:t xml:space="preserve">    </w:t>
      </w:r>
    </w:p>
    <w:p w14:paraId="19FA3F20" w14:textId="77777777" w:rsidR="005D0BF6" w:rsidRDefault="00F11033" w:rsidP="006F5485">
      <w:pPr>
        <w:pStyle w:val="NoSpacing"/>
        <w:jc w:val="both"/>
        <w:rPr>
          <w:rFonts w:ascii="Times New Roman" w:eastAsia="Times New Roman Bold" w:hAnsi="Times New Roman" w:cs="Times New Roman"/>
          <w:b/>
          <w:sz w:val="24"/>
          <w:szCs w:val="24"/>
          <w:lang w:val="ro-RO"/>
        </w:rPr>
      </w:pPr>
      <w:r w:rsidRPr="006C332D">
        <w:rPr>
          <w:rFonts w:ascii="Times New Roman" w:eastAsia="Times New Roman Bold" w:hAnsi="Times New Roman" w:cs="Times New Roman"/>
          <w:b/>
          <w:sz w:val="24"/>
          <w:szCs w:val="24"/>
          <w:lang w:val="ro-RO"/>
        </w:rPr>
        <w:t xml:space="preserve">       </w:t>
      </w:r>
    </w:p>
    <w:p w14:paraId="7A3207DD" w14:textId="77777777" w:rsidR="007B5F52" w:rsidRDefault="007B5F52" w:rsidP="006F5485">
      <w:pPr>
        <w:pStyle w:val="NoSpacing"/>
        <w:jc w:val="both"/>
        <w:rPr>
          <w:rFonts w:ascii="Times New Roman" w:eastAsia="Times New Roman Bold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1"/>
        <w:gridCol w:w="5285"/>
      </w:tblGrid>
      <w:tr w:rsidR="006C332D" w14:paraId="51E59919" w14:textId="77777777" w:rsidTr="007B5F52">
        <w:tc>
          <w:tcPr>
            <w:tcW w:w="5631" w:type="dxa"/>
          </w:tcPr>
          <w:p w14:paraId="0C8E37B4" w14:textId="46BC60D1" w:rsidR="006C332D" w:rsidRDefault="006C332D" w:rsidP="007778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Viceprim-ministru, Ministrul Dezvoltării Regionale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Fondurilor Europene</w:t>
            </w:r>
          </w:p>
          <w:p w14:paraId="421F4435" w14:textId="46FBA3E5" w:rsidR="006C332D" w:rsidRDefault="006C332D" w:rsidP="007778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44887FD8" w14:textId="77777777" w:rsidR="006C332D" w:rsidRDefault="006C332D" w:rsidP="007778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Sevil SHHAIDEH</w:t>
            </w:r>
          </w:p>
        </w:tc>
        <w:tc>
          <w:tcPr>
            <w:tcW w:w="5285" w:type="dxa"/>
          </w:tcPr>
          <w:p w14:paraId="439D4C19" w14:textId="77777777" w:rsidR="006C332D" w:rsidRPr="006C332D" w:rsidRDefault="006C332D" w:rsidP="007778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Ministrul delegat pentru</w:t>
            </w:r>
          </w:p>
          <w:p w14:paraId="2944B087" w14:textId="77777777" w:rsidR="006C332D" w:rsidRDefault="006C332D" w:rsidP="007778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Administra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iei Publice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 Fondurilor Europene</w:t>
            </w:r>
          </w:p>
          <w:p w14:paraId="047D31A1" w14:textId="4B34E184" w:rsidR="006C332D" w:rsidRDefault="006C332D" w:rsidP="007778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Rovana PLUMB</w:t>
            </w:r>
          </w:p>
        </w:tc>
      </w:tr>
      <w:tr w:rsidR="006C332D" w14:paraId="3AB27322" w14:textId="77777777" w:rsidTr="007B5F52">
        <w:tc>
          <w:tcPr>
            <w:tcW w:w="5631" w:type="dxa"/>
          </w:tcPr>
          <w:p w14:paraId="05F6BB07" w14:textId="77777777" w:rsidR="007B5F52" w:rsidRDefault="007B5F52" w:rsidP="007B5F52">
            <w:pPr>
              <w:pStyle w:val="NoSpacing"/>
              <w:tabs>
                <w:tab w:val="left" w:pos="1050"/>
                <w:tab w:val="center" w:pos="270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ab/>
            </w:r>
          </w:p>
          <w:p w14:paraId="066E2FCD" w14:textId="77777777" w:rsidR="007B5F52" w:rsidRDefault="007B5F52" w:rsidP="007B5F52">
            <w:pPr>
              <w:pStyle w:val="NoSpacing"/>
              <w:tabs>
                <w:tab w:val="left" w:pos="1050"/>
                <w:tab w:val="center" w:pos="270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ab/>
            </w:r>
          </w:p>
          <w:p w14:paraId="760BF0C5" w14:textId="77777777" w:rsidR="007B5F52" w:rsidRDefault="007B5F52" w:rsidP="007B5F52">
            <w:pPr>
              <w:pStyle w:val="NoSpacing"/>
              <w:tabs>
                <w:tab w:val="left" w:pos="1050"/>
                <w:tab w:val="center" w:pos="270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53BD58D" w14:textId="4C2C81B8" w:rsidR="00082A0F" w:rsidRPr="006C332D" w:rsidRDefault="00082A0F" w:rsidP="007B5F52">
            <w:pPr>
              <w:pStyle w:val="NoSpacing"/>
              <w:tabs>
                <w:tab w:val="left" w:pos="1050"/>
                <w:tab w:val="center" w:pos="27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edintele Agen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iei 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ionale</w:t>
            </w:r>
          </w:p>
          <w:p w14:paraId="237C51B0" w14:textId="23BCD477" w:rsidR="00082A0F" w:rsidRDefault="00082A0F" w:rsidP="00082A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Func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ționarilor Publici</w:t>
            </w:r>
          </w:p>
          <w:p w14:paraId="578A6B20" w14:textId="77777777" w:rsidR="00082A0F" w:rsidRPr="006C332D" w:rsidRDefault="00082A0F" w:rsidP="00082A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02F22FB" w14:textId="7F1158D9" w:rsidR="006C332D" w:rsidRDefault="00082A0F" w:rsidP="00082A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Leonid-Augustin MOISIU</w:t>
            </w:r>
          </w:p>
        </w:tc>
        <w:tc>
          <w:tcPr>
            <w:tcW w:w="5285" w:type="dxa"/>
          </w:tcPr>
          <w:p w14:paraId="549C2CC4" w14:textId="77777777" w:rsidR="007B5F52" w:rsidRDefault="007B5F52" w:rsidP="007778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3209F37" w14:textId="77777777" w:rsidR="007B5F52" w:rsidRDefault="007B5F52" w:rsidP="007778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2795D2A" w14:textId="77777777" w:rsidR="007B5F52" w:rsidRDefault="007B5F52" w:rsidP="007778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A9081ED" w14:textId="77777777" w:rsidR="006C332D" w:rsidRDefault="00082A0F" w:rsidP="007778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edintele Agen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iei 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ionale pentru Achizi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 Publice</w:t>
            </w:r>
          </w:p>
          <w:p w14:paraId="743C92D9" w14:textId="77777777" w:rsidR="00082A0F" w:rsidRDefault="00082A0F" w:rsidP="007778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B5DDB49" w14:textId="63CFECB4" w:rsidR="00082A0F" w:rsidRDefault="00082A0F" w:rsidP="007778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Bogdan PU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</w:p>
        </w:tc>
      </w:tr>
      <w:tr w:rsidR="006C332D" w14:paraId="36D8A039" w14:textId="77777777" w:rsidTr="007B5F52">
        <w:tc>
          <w:tcPr>
            <w:tcW w:w="5631" w:type="dxa"/>
          </w:tcPr>
          <w:p w14:paraId="64F7EE9F" w14:textId="77777777" w:rsidR="007B5F52" w:rsidRDefault="007B5F52" w:rsidP="007778FA">
            <w:pPr>
              <w:pStyle w:val="NoSpacing"/>
              <w:jc w:val="center"/>
              <w:rPr>
                <w:rFonts w:ascii="Times New Roman" w:eastAsia="Times New Roman Bold" w:hAnsi="Times New Roman" w:cs="Times New Roman"/>
                <w:b/>
                <w:sz w:val="24"/>
                <w:szCs w:val="24"/>
                <w:lang w:val="ro-RO"/>
              </w:rPr>
            </w:pPr>
          </w:p>
          <w:p w14:paraId="168A25DA" w14:textId="77777777" w:rsidR="007B5F52" w:rsidRDefault="007B5F52" w:rsidP="007778FA">
            <w:pPr>
              <w:pStyle w:val="NoSpacing"/>
              <w:jc w:val="center"/>
              <w:rPr>
                <w:rFonts w:ascii="Times New Roman" w:eastAsia="Times New Roman Bold" w:hAnsi="Times New Roman" w:cs="Times New Roman"/>
                <w:b/>
                <w:sz w:val="24"/>
                <w:szCs w:val="24"/>
                <w:lang w:val="ro-RO"/>
              </w:rPr>
            </w:pPr>
          </w:p>
          <w:p w14:paraId="5588DF50" w14:textId="77777777" w:rsidR="007B5F52" w:rsidRDefault="007B5F52" w:rsidP="007778FA">
            <w:pPr>
              <w:pStyle w:val="NoSpacing"/>
              <w:jc w:val="center"/>
              <w:rPr>
                <w:rFonts w:ascii="Times New Roman" w:eastAsia="Times New Roman Bold" w:hAnsi="Times New Roman" w:cs="Times New Roman"/>
                <w:b/>
                <w:sz w:val="24"/>
                <w:szCs w:val="24"/>
                <w:lang w:val="ro-RO"/>
              </w:rPr>
            </w:pPr>
          </w:p>
          <w:p w14:paraId="2DEB45EA" w14:textId="77777777" w:rsidR="00082A0F" w:rsidRDefault="00082A0F" w:rsidP="007778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332D">
              <w:rPr>
                <w:rFonts w:ascii="Times New Roman" w:eastAsia="Times New Roman Bold" w:hAnsi="Times New Roman" w:cs="Times New Roman"/>
                <w:b/>
                <w:sz w:val="24"/>
                <w:szCs w:val="24"/>
                <w:lang w:val="ro-RO"/>
              </w:rPr>
              <w:t xml:space="preserve">Ministrul Muncii </w:t>
            </w:r>
            <w:r>
              <w:rPr>
                <w:rFonts w:ascii="Times New Roman" w:eastAsia="Times New Roman Bold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6C332D">
              <w:rPr>
                <w:rFonts w:ascii="Times New Roman" w:eastAsia="Times New Roman Bold" w:hAnsi="Times New Roman" w:cs="Times New Roman"/>
                <w:b/>
                <w:sz w:val="24"/>
                <w:szCs w:val="24"/>
                <w:lang w:val="ro-RO"/>
              </w:rPr>
              <w:t>i Justi</w:t>
            </w:r>
            <w:r>
              <w:rPr>
                <w:rFonts w:ascii="Times New Roman" w:eastAsia="Times New Roman Bold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eastAsia="Times New Roman Bold" w:hAnsi="Times New Roman" w:cs="Times New Roman"/>
                <w:b/>
                <w:sz w:val="24"/>
                <w:szCs w:val="24"/>
                <w:lang w:val="ro-RO"/>
              </w:rPr>
              <w:t>iei Sociale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1E2FB099" w14:textId="77777777" w:rsidR="00082A0F" w:rsidRDefault="00082A0F" w:rsidP="007778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AF7C39A" w14:textId="35E5E871" w:rsidR="006C332D" w:rsidRDefault="00082A0F" w:rsidP="007778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Lia-Olgu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VASILESCU</w:t>
            </w:r>
          </w:p>
        </w:tc>
        <w:tc>
          <w:tcPr>
            <w:tcW w:w="5285" w:type="dxa"/>
          </w:tcPr>
          <w:p w14:paraId="4CDAD8BD" w14:textId="77777777" w:rsidR="007B5F52" w:rsidRDefault="007B5F52" w:rsidP="00082A0F">
            <w:pPr>
              <w:pStyle w:val="NoSpacing"/>
              <w:jc w:val="center"/>
              <w:rPr>
                <w:rFonts w:ascii="Times New Roman" w:eastAsia="Times New Roman Bold" w:hAnsi="Times New Roman" w:cs="Times New Roman"/>
                <w:b/>
                <w:sz w:val="24"/>
                <w:szCs w:val="24"/>
                <w:lang w:val="ro-RO"/>
              </w:rPr>
            </w:pPr>
          </w:p>
          <w:p w14:paraId="02B99B83" w14:textId="77777777" w:rsidR="007B5F52" w:rsidRDefault="007B5F52" w:rsidP="00082A0F">
            <w:pPr>
              <w:pStyle w:val="NoSpacing"/>
              <w:jc w:val="center"/>
              <w:rPr>
                <w:rFonts w:ascii="Times New Roman" w:eastAsia="Times New Roman Bold" w:hAnsi="Times New Roman" w:cs="Times New Roman"/>
                <w:b/>
                <w:sz w:val="24"/>
                <w:szCs w:val="24"/>
                <w:lang w:val="ro-RO"/>
              </w:rPr>
            </w:pPr>
          </w:p>
          <w:p w14:paraId="7EEBF433" w14:textId="77777777" w:rsidR="007B5F52" w:rsidRDefault="007B5F52" w:rsidP="00082A0F">
            <w:pPr>
              <w:pStyle w:val="NoSpacing"/>
              <w:jc w:val="center"/>
              <w:rPr>
                <w:rFonts w:ascii="Times New Roman" w:eastAsia="Times New Roman Bold" w:hAnsi="Times New Roman" w:cs="Times New Roman"/>
                <w:b/>
                <w:sz w:val="24"/>
                <w:szCs w:val="24"/>
                <w:lang w:val="ro-RO"/>
              </w:rPr>
            </w:pPr>
          </w:p>
          <w:p w14:paraId="653A9CE5" w14:textId="77777777" w:rsidR="00082A0F" w:rsidRDefault="00082A0F" w:rsidP="00082A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6C332D">
              <w:rPr>
                <w:rFonts w:ascii="Times New Roman" w:eastAsia="Times New Roman Bold" w:hAnsi="Times New Roman" w:cs="Times New Roman"/>
                <w:b/>
                <w:sz w:val="24"/>
                <w:szCs w:val="24"/>
                <w:lang w:val="ro-RO"/>
              </w:rPr>
              <w:t>Pre</w:t>
            </w:r>
            <w:r>
              <w:rPr>
                <w:rFonts w:ascii="Times New Roman" w:eastAsia="Times New Roman Bold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6C332D">
              <w:rPr>
                <w:rFonts w:ascii="Times New Roman" w:eastAsia="Times New Roman Bold" w:hAnsi="Times New Roman" w:cs="Times New Roman"/>
                <w:b/>
                <w:sz w:val="24"/>
                <w:szCs w:val="24"/>
                <w:lang w:val="ro-RO"/>
              </w:rPr>
              <w:t>edintele Agen</w:t>
            </w:r>
            <w:r>
              <w:rPr>
                <w:rFonts w:ascii="Times New Roman" w:eastAsia="Times New Roman Bold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eastAsia="Times New Roman Bold" w:hAnsi="Times New Roman" w:cs="Times New Roman"/>
                <w:b/>
                <w:sz w:val="24"/>
                <w:szCs w:val="24"/>
                <w:lang w:val="ro-RO"/>
              </w:rPr>
              <w:t>iei Na</w:t>
            </w:r>
            <w:r>
              <w:rPr>
                <w:rFonts w:ascii="Times New Roman" w:eastAsia="Times New Roman Bold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eastAsia="Times New Roman Bold" w:hAnsi="Times New Roman" w:cs="Times New Roman"/>
                <w:b/>
                <w:sz w:val="24"/>
                <w:szCs w:val="24"/>
                <w:lang w:val="ro-RO"/>
              </w:rPr>
              <w:t>ionale de Integritate</w:t>
            </w:r>
          </w:p>
          <w:p w14:paraId="2696AF7B" w14:textId="77777777" w:rsidR="00082A0F" w:rsidRDefault="00082A0F" w:rsidP="00082A0F">
            <w:pPr>
              <w:pStyle w:val="NoSpacing"/>
              <w:jc w:val="center"/>
              <w:rPr>
                <w:rFonts w:ascii="Times New Roman" w:eastAsia="Times New Roman Bold" w:hAnsi="Times New Roman" w:cs="Times New Roman"/>
                <w:b/>
                <w:sz w:val="24"/>
                <w:szCs w:val="24"/>
                <w:lang w:val="ro-RO"/>
              </w:rPr>
            </w:pPr>
          </w:p>
          <w:p w14:paraId="3E17EC7F" w14:textId="14A1EB0A" w:rsidR="006C332D" w:rsidRDefault="00082A0F" w:rsidP="00082A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6C332D">
              <w:rPr>
                <w:rFonts w:ascii="Times New Roman" w:eastAsia="Times New Roman Bold" w:hAnsi="Times New Roman" w:cs="Times New Roman"/>
                <w:b/>
                <w:sz w:val="24"/>
                <w:szCs w:val="24"/>
                <w:lang w:val="ro-RO"/>
              </w:rPr>
              <w:t>Bogdan STAN</w:t>
            </w:r>
          </w:p>
        </w:tc>
      </w:tr>
      <w:tr w:rsidR="006C332D" w14:paraId="73D30790" w14:textId="77777777" w:rsidTr="007B5F52">
        <w:tc>
          <w:tcPr>
            <w:tcW w:w="5631" w:type="dxa"/>
          </w:tcPr>
          <w:p w14:paraId="2F878D9D" w14:textId="1DE3BFA5" w:rsidR="006C332D" w:rsidRDefault="00082A0F" w:rsidP="00082A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</w:t>
            </w:r>
          </w:p>
        </w:tc>
        <w:tc>
          <w:tcPr>
            <w:tcW w:w="5285" w:type="dxa"/>
          </w:tcPr>
          <w:p w14:paraId="7DD6C99C" w14:textId="77777777" w:rsidR="00082A0F" w:rsidRDefault="00082A0F" w:rsidP="007778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58FA3B1" w14:textId="77777777" w:rsidR="007B5F52" w:rsidRDefault="007B5F52" w:rsidP="007778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2879280" w14:textId="77777777" w:rsidR="007B5F52" w:rsidRDefault="007B5F52" w:rsidP="007778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FA3DE45" w14:textId="77777777" w:rsidR="00082A0F" w:rsidRDefault="00082A0F" w:rsidP="007778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Ministrul Justi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iei </w:t>
            </w:r>
          </w:p>
          <w:p w14:paraId="34017443" w14:textId="77777777" w:rsidR="00082A0F" w:rsidRDefault="00082A0F" w:rsidP="007778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E5090E1" w14:textId="5C92CC30" w:rsidR="006C332D" w:rsidRDefault="00082A0F" w:rsidP="007778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6C33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Tudorel TOADER</w:t>
            </w:r>
          </w:p>
        </w:tc>
      </w:tr>
    </w:tbl>
    <w:p w14:paraId="4B6F61A5" w14:textId="77777777" w:rsidR="006C332D" w:rsidRDefault="006C332D" w:rsidP="006F5485">
      <w:pPr>
        <w:pStyle w:val="NoSpacing"/>
        <w:jc w:val="both"/>
        <w:rPr>
          <w:rFonts w:ascii="Times New Roman" w:eastAsia="Times New Roman Bold" w:hAnsi="Times New Roman" w:cs="Times New Roman"/>
          <w:b/>
          <w:sz w:val="24"/>
          <w:szCs w:val="24"/>
          <w:lang w:val="ro-RO"/>
        </w:rPr>
      </w:pPr>
    </w:p>
    <w:p w14:paraId="0B01DE59" w14:textId="77777777" w:rsidR="006C332D" w:rsidRDefault="006C332D" w:rsidP="006F5485">
      <w:pPr>
        <w:pStyle w:val="NoSpacing"/>
        <w:jc w:val="both"/>
        <w:rPr>
          <w:rFonts w:ascii="Times New Roman" w:eastAsia="Times New Roman Bold" w:hAnsi="Times New Roman" w:cs="Times New Roman"/>
          <w:b/>
          <w:sz w:val="24"/>
          <w:szCs w:val="24"/>
          <w:lang w:val="ro-RO"/>
        </w:rPr>
      </w:pPr>
    </w:p>
    <w:p w14:paraId="61BBA2EB" w14:textId="77777777" w:rsidR="006C332D" w:rsidRDefault="006C332D" w:rsidP="006F5485">
      <w:pPr>
        <w:pStyle w:val="NoSpacing"/>
        <w:jc w:val="both"/>
        <w:rPr>
          <w:rFonts w:ascii="Times New Roman" w:eastAsia="Times New Roman Bold" w:hAnsi="Times New Roman" w:cs="Times New Roman"/>
          <w:b/>
          <w:sz w:val="24"/>
          <w:szCs w:val="24"/>
          <w:lang w:val="ro-RO"/>
        </w:rPr>
      </w:pPr>
    </w:p>
    <w:p w14:paraId="6AF0B206" w14:textId="77777777" w:rsidR="001B07E0" w:rsidRPr="006C332D" w:rsidRDefault="006F5485" w:rsidP="00FA5631">
      <w:pPr>
        <w:pStyle w:val="NoSpacing"/>
        <w:rPr>
          <w:rFonts w:ascii="Times New Roman" w:eastAsia="Times New Roman Bold" w:hAnsi="Times New Roman" w:cs="Times New Roman"/>
          <w:b/>
          <w:bCs/>
          <w:sz w:val="24"/>
          <w:szCs w:val="24"/>
          <w:lang w:val="ro-RO"/>
        </w:rPr>
      </w:pPr>
      <w:r w:rsidRPr="006C332D">
        <w:rPr>
          <w:rFonts w:ascii="Times New Roman" w:eastAsia="Times New Roman Bold" w:hAnsi="Times New Roman" w:cs="Times New Roman"/>
          <w:b/>
          <w:bCs/>
          <w:sz w:val="24"/>
          <w:szCs w:val="24"/>
          <w:lang w:val="ro-RO"/>
        </w:rPr>
        <w:t xml:space="preserve">   </w:t>
      </w:r>
      <w:r w:rsidR="00DC2D1A" w:rsidRPr="006C332D">
        <w:rPr>
          <w:rFonts w:ascii="Times New Roman" w:eastAsia="Times New Roman Bold" w:hAnsi="Times New Roman" w:cs="Times New Roman"/>
          <w:b/>
          <w:bCs/>
          <w:sz w:val="24"/>
          <w:szCs w:val="24"/>
          <w:lang w:val="ro-RO"/>
        </w:rPr>
        <w:t xml:space="preserve"> </w:t>
      </w:r>
      <w:r w:rsidR="00754618" w:rsidRPr="006C332D">
        <w:rPr>
          <w:rFonts w:ascii="Times New Roman" w:eastAsia="Times New Roman Bold" w:hAnsi="Times New Roman" w:cs="Times New Roman"/>
          <w:b/>
          <w:bCs/>
          <w:sz w:val="24"/>
          <w:szCs w:val="24"/>
          <w:lang w:val="ro-RO"/>
        </w:rPr>
        <w:t xml:space="preserve">    </w:t>
      </w:r>
      <w:r w:rsidR="002E6EAB" w:rsidRPr="006C332D">
        <w:rPr>
          <w:rFonts w:ascii="Times New Roman" w:eastAsia="Times New Roman Bold" w:hAnsi="Times New Roman" w:cs="Times New Roman"/>
          <w:b/>
          <w:bCs/>
          <w:sz w:val="24"/>
          <w:szCs w:val="24"/>
          <w:lang w:val="ro-RO"/>
        </w:rPr>
        <w:t xml:space="preserve">  </w:t>
      </w:r>
      <w:r w:rsidR="00294397" w:rsidRPr="006C332D">
        <w:rPr>
          <w:rFonts w:ascii="Times New Roman" w:eastAsia="Times New Roman Bold" w:hAnsi="Times New Roman" w:cs="Times New Roman"/>
          <w:b/>
          <w:bCs/>
          <w:sz w:val="24"/>
          <w:szCs w:val="24"/>
          <w:lang w:val="ro-RO"/>
        </w:rPr>
        <w:tab/>
      </w:r>
    </w:p>
    <w:tbl>
      <w:tblPr>
        <w:tblW w:w="10589" w:type="dxa"/>
        <w:tblLayout w:type="fixed"/>
        <w:tblLook w:val="0000" w:firstRow="0" w:lastRow="0" w:firstColumn="0" w:lastColumn="0" w:noHBand="0" w:noVBand="0"/>
      </w:tblPr>
      <w:tblGrid>
        <w:gridCol w:w="10589"/>
      </w:tblGrid>
      <w:tr w:rsidR="001B07E0" w:rsidRPr="00B467BC" w14:paraId="772BCFE3" w14:textId="77777777" w:rsidTr="00A80BFC">
        <w:tc>
          <w:tcPr>
            <w:tcW w:w="10589" w:type="dxa"/>
            <w:shd w:val="clear" w:color="auto" w:fill="auto"/>
          </w:tcPr>
          <w:tbl>
            <w:tblPr>
              <w:tblW w:w="10563" w:type="dxa"/>
              <w:tblLayout w:type="fixed"/>
              <w:tblLook w:val="0000" w:firstRow="0" w:lastRow="0" w:firstColumn="0" w:lastColumn="0" w:noHBand="0" w:noVBand="0"/>
            </w:tblPr>
            <w:tblGrid>
              <w:gridCol w:w="10563"/>
            </w:tblGrid>
            <w:tr w:rsidR="001B07E0" w:rsidRPr="00B467BC" w14:paraId="73848174" w14:textId="77777777" w:rsidTr="00A80BFC">
              <w:tc>
                <w:tcPr>
                  <w:tcW w:w="10563" w:type="dxa"/>
                  <w:shd w:val="clear" w:color="auto" w:fill="auto"/>
                </w:tcPr>
                <w:p w14:paraId="2EEA7483" w14:textId="77777777" w:rsidR="001B07E0" w:rsidRPr="00B467BC" w:rsidRDefault="001B07E0" w:rsidP="00A80BFC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B467BC">
                    <w:rPr>
                      <w:rFonts w:ascii="Times New Roman" w:eastAsia="Times New Roman Bold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</w:t>
                  </w:r>
                </w:p>
              </w:tc>
            </w:tr>
          </w:tbl>
          <w:p w14:paraId="3D67445D" w14:textId="77777777" w:rsidR="001B07E0" w:rsidRDefault="001B07E0" w:rsidP="00A80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DB67C20" w14:textId="77777777" w:rsidR="001B07E0" w:rsidRDefault="001B07E0" w:rsidP="00A80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CC4B763" w14:textId="77777777" w:rsidR="001B07E0" w:rsidRDefault="001B07E0" w:rsidP="00A80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3E3CF9A" w14:textId="77777777" w:rsidR="001B07E0" w:rsidRDefault="001B07E0" w:rsidP="00A80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1BC09B0" w14:textId="77777777" w:rsidR="001B07E0" w:rsidRPr="00B467BC" w:rsidRDefault="001B07E0" w:rsidP="00A80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Secretar </w:t>
            </w:r>
            <w:r w:rsidRPr="00B467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general,</w:t>
            </w:r>
          </w:p>
          <w:p w14:paraId="65CC6BAB" w14:textId="77777777" w:rsidR="001B07E0" w:rsidRDefault="001B07E0" w:rsidP="00A80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E4B6AF1" w14:textId="77777777" w:rsidR="001B07E0" w:rsidRPr="00B467BC" w:rsidRDefault="001B07E0" w:rsidP="00A80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E528800" w14:textId="77777777" w:rsidR="001B07E0" w:rsidRPr="00B467BC" w:rsidRDefault="001B07E0" w:rsidP="00A80B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F3849EF" w14:textId="77777777" w:rsidR="001B07E0" w:rsidRDefault="001B07E0" w:rsidP="00A80B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D7918CF" w14:textId="77777777" w:rsidR="001B07E0" w:rsidRPr="00B467BC" w:rsidRDefault="001B07E0" w:rsidP="00A80B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467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Direcţia generală juridică,</w:t>
            </w:r>
          </w:p>
          <w:p w14:paraId="39B9A5E0" w14:textId="77777777" w:rsidR="001B07E0" w:rsidRPr="00B467BC" w:rsidRDefault="001B07E0" w:rsidP="00A80B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467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Ciprian Sebastian BADEA,</w:t>
            </w:r>
          </w:p>
          <w:p w14:paraId="221D52B3" w14:textId="77777777" w:rsidR="001B07E0" w:rsidRPr="00B467BC" w:rsidRDefault="001B07E0" w:rsidP="00A80B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467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Director general</w:t>
            </w:r>
          </w:p>
          <w:p w14:paraId="59FA6C13" w14:textId="77777777" w:rsidR="001B07E0" w:rsidRPr="00B467BC" w:rsidRDefault="001B07E0" w:rsidP="00A80B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71106F1" w14:textId="77777777" w:rsidR="001B07E0" w:rsidRDefault="001B07E0" w:rsidP="00A80B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34436EC" w14:textId="77777777" w:rsidR="001B07E0" w:rsidRPr="00B467BC" w:rsidRDefault="001B07E0" w:rsidP="00A80B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467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Direcţia generală de control financiar preventiv,</w:t>
            </w:r>
          </w:p>
          <w:p w14:paraId="4AFBE0D0" w14:textId="77777777" w:rsidR="001B07E0" w:rsidRPr="00B467BC" w:rsidRDefault="001B07E0" w:rsidP="00A80B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467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Constantin SAS,</w:t>
            </w:r>
          </w:p>
          <w:p w14:paraId="3BEC66AD" w14:textId="77777777" w:rsidR="001B07E0" w:rsidRPr="00B467BC" w:rsidRDefault="001B07E0" w:rsidP="00A80B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7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Controlor financiar şef</w:t>
            </w:r>
            <w:r w:rsidRPr="00B467BC">
              <w:rPr>
                <w:rFonts w:ascii="Times New Roman" w:eastAsia="Times New Roman Bold" w:hAnsi="Times New Roman" w:cs="Times New Roman"/>
                <w:b/>
                <w:sz w:val="24"/>
                <w:szCs w:val="24"/>
                <w:lang w:val="ro-RO"/>
              </w:rPr>
              <w:t xml:space="preserve">   </w:t>
            </w:r>
          </w:p>
        </w:tc>
      </w:tr>
    </w:tbl>
    <w:p w14:paraId="66D33DE2" w14:textId="77777777" w:rsidR="001B07E0" w:rsidRPr="00B467BC" w:rsidRDefault="001B07E0" w:rsidP="001B07E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7BC">
        <w:rPr>
          <w:rFonts w:ascii="Times New Roman" w:eastAsia="Times New Roman Bold" w:hAnsi="Times New Roman" w:cs="Times New Roman"/>
          <w:sz w:val="24"/>
          <w:szCs w:val="24"/>
        </w:rPr>
        <w:lastRenderedPageBreak/>
        <w:t xml:space="preserve">             </w:t>
      </w:r>
    </w:p>
    <w:p w14:paraId="50FA0235" w14:textId="77777777" w:rsidR="001B07E0" w:rsidRDefault="001B07E0" w:rsidP="001B07E0">
      <w:pPr>
        <w:pStyle w:val="NoSpacing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B467BC">
        <w:rPr>
          <w:rFonts w:ascii="Times New Roman" w:eastAsia="Times New Roman Bold" w:hAnsi="Times New Roman" w:cs="Times New Roman"/>
          <w:b/>
          <w:sz w:val="24"/>
          <w:szCs w:val="24"/>
        </w:rPr>
        <w:t xml:space="preserve"> </w:t>
      </w:r>
    </w:p>
    <w:p w14:paraId="223395CE" w14:textId="77777777" w:rsidR="001B07E0" w:rsidRPr="00B467BC" w:rsidRDefault="001B07E0" w:rsidP="001B07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467BC">
        <w:rPr>
          <w:rFonts w:ascii="Times New Roman" w:hAnsi="Times New Roman" w:cs="Times New Roman"/>
          <w:b/>
          <w:sz w:val="24"/>
          <w:szCs w:val="24"/>
        </w:rPr>
        <w:t>Direcția generală de inspecție economico-financiară,</w:t>
      </w:r>
    </w:p>
    <w:p w14:paraId="3006BE8D" w14:textId="77777777" w:rsidR="001B07E0" w:rsidRPr="00B467BC" w:rsidRDefault="001B07E0" w:rsidP="001B07E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7BC">
        <w:rPr>
          <w:rFonts w:ascii="Times New Roman" w:eastAsia="Times New Roman Bold" w:hAnsi="Times New Roman" w:cs="Times New Roman"/>
          <w:b/>
          <w:sz w:val="24"/>
          <w:szCs w:val="24"/>
        </w:rPr>
        <w:t xml:space="preserve"> </w:t>
      </w:r>
      <w:r w:rsidRPr="00B467BC">
        <w:rPr>
          <w:rFonts w:ascii="Times New Roman" w:hAnsi="Times New Roman" w:cs="Times New Roman"/>
          <w:b/>
          <w:sz w:val="24"/>
          <w:szCs w:val="24"/>
        </w:rPr>
        <w:t>Valerica SECOȘAN,</w:t>
      </w:r>
    </w:p>
    <w:p w14:paraId="0DC90257" w14:textId="77777777" w:rsidR="001B07E0" w:rsidRPr="00B467BC" w:rsidRDefault="001B07E0" w:rsidP="001B07E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46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467BC">
        <w:rPr>
          <w:rFonts w:ascii="Times New Roman" w:hAnsi="Times New Roman" w:cs="Times New Roman"/>
          <w:b/>
          <w:bCs/>
          <w:sz w:val="24"/>
          <w:szCs w:val="24"/>
        </w:rPr>
        <w:t>Director general</w:t>
      </w:r>
    </w:p>
    <w:p w14:paraId="736B7248" w14:textId="77777777" w:rsidR="001B07E0" w:rsidRPr="00B467BC" w:rsidRDefault="001B07E0" w:rsidP="001B07E0">
      <w:pPr>
        <w:pStyle w:val="FrameContents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0C3A93" w14:textId="77777777" w:rsidR="001B07E0" w:rsidRDefault="001B07E0" w:rsidP="001B07E0">
      <w:pPr>
        <w:pStyle w:val="FrameContents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C301482" w14:textId="77777777" w:rsidR="001B07E0" w:rsidRPr="00B467BC" w:rsidRDefault="001B07E0" w:rsidP="001B07E0">
      <w:pPr>
        <w:pStyle w:val="FrameContents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Serviciul</w:t>
      </w:r>
      <w:r w:rsidRPr="00B467BC">
        <w:rPr>
          <w:rFonts w:ascii="Times New Roman" w:hAnsi="Times New Roman" w:cs="Times New Roman"/>
          <w:b/>
          <w:bCs/>
          <w:sz w:val="24"/>
          <w:szCs w:val="24"/>
        </w:rPr>
        <w:t xml:space="preserve"> de soluționare a plângerilor prealabile și a contestațiilor,</w:t>
      </w:r>
    </w:p>
    <w:p w14:paraId="5B8FA9D9" w14:textId="77777777" w:rsidR="001B07E0" w:rsidRPr="00B467BC" w:rsidRDefault="001B07E0" w:rsidP="001B07E0">
      <w:pPr>
        <w:pStyle w:val="FrameContents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467BC">
        <w:rPr>
          <w:rFonts w:ascii="Times New Roman" w:hAnsi="Times New Roman" w:cs="Times New Roman"/>
          <w:b/>
          <w:bCs/>
          <w:sz w:val="24"/>
          <w:szCs w:val="24"/>
        </w:rPr>
        <w:t>Valușca TEIȘAN,</w:t>
      </w:r>
    </w:p>
    <w:p w14:paraId="3173D5F4" w14:textId="77777777" w:rsidR="001B07E0" w:rsidRPr="00B467BC" w:rsidRDefault="001B07E0" w:rsidP="001B07E0">
      <w:pPr>
        <w:pStyle w:val="FrameContents"/>
        <w:spacing w:after="0"/>
        <w:rPr>
          <w:rFonts w:ascii="Arial" w:hAnsi="Arial" w:cs="Arial"/>
        </w:rPr>
      </w:pPr>
      <w:r w:rsidRPr="00B46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467BC">
        <w:rPr>
          <w:rFonts w:ascii="Times New Roman" w:hAnsi="Times New Roman" w:cs="Times New Roman"/>
          <w:b/>
          <w:bCs/>
          <w:sz w:val="24"/>
          <w:szCs w:val="24"/>
        </w:rPr>
        <w:t xml:space="preserve">Șef </w:t>
      </w:r>
      <w:r>
        <w:rPr>
          <w:rFonts w:ascii="Times New Roman" w:hAnsi="Times New Roman" w:cs="Times New Roman"/>
          <w:b/>
          <w:bCs/>
          <w:sz w:val="24"/>
          <w:szCs w:val="24"/>
        </w:rPr>
        <w:t>serviciu</w:t>
      </w:r>
    </w:p>
    <w:p w14:paraId="42AFB98A" w14:textId="759EDF7D" w:rsidR="00F11033" w:rsidRPr="006C332D" w:rsidRDefault="00F11033" w:rsidP="00FA5631">
      <w:pPr>
        <w:pStyle w:val="NoSpacing"/>
        <w:rPr>
          <w:rFonts w:ascii="Times New Roman" w:eastAsia="Times New Roman Bold" w:hAnsi="Times New Roman" w:cs="Times New Roman"/>
          <w:b/>
          <w:bCs/>
          <w:sz w:val="24"/>
          <w:szCs w:val="24"/>
          <w:lang w:val="ro-RO"/>
        </w:rPr>
      </w:pPr>
    </w:p>
    <w:p w14:paraId="5EE591BF" w14:textId="77777777" w:rsidR="00F11033" w:rsidRPr="006C332D" w:rsidRDefault="00F11033" w:rsidP="00FA5631">
      <w:pPr>
        <w:pStyle w:val="NoSpacing"/>
        <w:rPr>
          <w:rFonts w:ascii="Times New Roman" w:eastAsia="Times New Roman Bold" w:hAnsi="Times New Roman" w:cs="Times New Roman"/>
          <w:b/>
          <w:bCs/>
          <w:sz w:val="24"/>
          <w:szCs w:val="24"/>
          <w:lang w:val="ro-RO"/>
        </w:rPr>
      </w:pPr>
      <w:r w:rsidRPr="006C332D">
        <w:rPr>
          <w:rFonts w:ascii="Times New Roman" w:eastAsia="Times New Roman Bold" w:hAnsi="Times New Roman" w:cs="Times New Roman"/>
          <w:b/>
          <w:bCs/>
          <w:sz w:val="24"/>
          <w:szCs w:val="24"/>
          <w:lang w:val="ro-RO"/>
        </w:rPr>
        <w:tab/>
      </w:r>
    </w:p>
    <w:p w14:paraId="3FC0C221" w14:textId="152499E1" w:rsidR="00082A0F" w:rsidRPr="006C332D" w:rsidRDefault="00B51605" w:rsidP="00082A0F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332D">
        <w:rPr>
          <w:rFonts w:ascii="Times New Roman" w:eastAsia="Times New Roman Bold" w:hAnsi="Times New Roman" w:cs="Times New Roman"/>
          <w:b/>
          <w:bCs/>
          <w:sz w:val="24"/>
          <w:szCs w:val="24"/>
          <w:lang w:val="ro-RO"/>
        </w:rPr>
        <w:tab/>
      </w:r>
    </w:p>
    <w:p w14:paraId="1BBF99E8" w14:textId="6A26043B" w:rsidR="002B2357" w:rsidRPr="006C332D" w:rsidRDefault="002B2357" w:rsidP="006F5485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33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C33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C33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C33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C33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C33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C332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C332D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</w:t>
      </w:r>
    </w:p>
    <w:sectPr w:rsidR="002B2357" w:rsidRPr="006C332D" w:rsidSect="006C332D">
      <w:footerReference w:type="default" r:id="rId8"/>
      <w:pgSz w:w="12240" w:h="15840"/>
      <w:pgMar w:top="709" w:right="794" w:bottom="1134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9E593" w14:textId="77777777" w:rsidR="003F0EC2" w:rsidRDefault="003F0EC2">
      <w:pPr>
        <w:spacing w:after="0" w:line="240" w:lineRule="auto"/>
      </w:pPr>
      <w:r>
        <w:separator/>
      </w:r>
    </w:p>
  </w:endnote>
  <w:endnote w:type="continuationSeparator" w:id="0">
    <w:p w14:paraId="6D1C09F3" w14:textId="77777777" w:rsidR="003F0EC2" w:rsidRDefault="003F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3772F" w14:textId="77777777" w:rsidR="00A260C6" w:rsidRDefault="00A260C6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1B07E0">
      <w:rPr>
        <w:noProof/>
      </w:rPr>
      <w:t>6</w:t>
    </w:r>
    <w:r>
      <w:fldChar w:fldCharType="end"/>
    </w:r>
  </w:p>
  <w:p w14:paraId="1FF01460" w14:textId="77777777" w:rsidR="00A260C6" w:rsidRDefault="00A26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8FA44" w14:textId="77777777" w:rsidR="003F0EC2" w:rsidRDefault="003F0EC2">
      <w:pPr>
        <w:spacing w:after="0" w:line="240" w:lineRule="auto"/>
      </w:pPr>
      <w:r>
        <w:separator/>
      </w:r>
    </w:p>
  </w:footnote>
  <w:footnote w:type="continuationSeparator" w:id="0">
    <w:p w14:paraId="06EBA5E3" w14:textId="77777777" w:rsidR="003F0EC2" w:rsidRDefault="003F0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4ADEA1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639A75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423"/>
        </w:tabs>
        <w:ind w:left="423" w:hanging="360"/>
      </w:pPr>
      <w:rPr>
        <w:rFonts w:ascii="Times New Roman" w:hAnsi="Times New Roman" w:cs="Times New Roman"/>
        <w:b/>
        <w:iCs/>
        <w:sz w:val="28"/>
        <w:szCs w:val="28"/>
        <w:lang w:val="ro-R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4"/>
        <w:szCs w:val="24"/>
        <w:lang w:val="ro-RO"/>
      </w:rPr>
    </w:lvl>
  </w:abstractNum>
  <w:abstractNum w:abstractNumId="4" w15:restartNumberingAfterBreak="0">
    <w:nsid w:val="00000005"/>
    <w:multiLevelType w:val="multilevel"/>
    <w:tmpl w:val="DF58C2D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multilevel"/>
    <w:tmpl w:val="734CA91E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03"/>
        </w:tabs>
        <w:ind w:left="303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606"/>
        </w:tabs>
        <w:ind w:left="606" w:hanging="720"/>
      </w:pPr>
    </w:lvl>
    <w:lvl w:ilvl="3">
      <w:start w:val="1"/>
      <w:numFmt w:val="decimal"/>
      <w:lvlText w:val="%1.%2.%3.%4"/>
      <w:lvlJc w:val="left"/>
      <w:pPr>
        <w:tabs>
          <w:tab w:val="num" w:pos="909"/>
        </w:tabs>
        <w:ind w:left="909" w:hanging="1080"/>
      </w:pPr>
    </w:lvl>
    <w:lvl w:ilvl="4">
      <w:start w:val="1"/>
      <w:numFmt w:val="decimal"/>
      <w:lvlText w:val="%1.%2.%3.%4.%5"/>
      <w:lvlJc w:val="left"/>
      <w:pPr>
        <w:tabs>
          <w:tab w:val="num" w:pos="852"/>
        </w:tabs>
        <w:ind w:left="852" w:hanging="1080"/>
      </w:pPr>
    </w:lvl>
    <w:lvl w:ilvl="5">
      <w:start w:val="1"/>
      <w:numFmt w:val="decimal"/>
      <w:lvlText w:val="%1.%2.%3.%4.%5.%6"/>
      <w:lvlJc w:val="left"/>
      <w:pPr>
        <w:tabs>
          <w:tab w:val="num" w:pos="1155"/>
        </w:tabs>
        <w:ind w:left="1155" w:hanging="1440"/>
      </w:pPr>
    </w:lvl>
    <w:lvl w:ilvl="6">
      <w:start w:val="1"/>
      <w:numFmt w:val="decimal"/>
      <w:lvlText w:val="%1.%2.%3.%4.%5.%6.%7"/>
      <w:lvlJc w:val="left"/>
      <w:pPr>
        <w:tabs>
          <w:tab w:val="num" w:pos="1098"/>
        </w:tabs>
        <w:ind w:left="10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01"/>
        </w:tabs>
        <w:ind w:left="140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344"/>
        </w:tabs>
        <w:ind w:left="1344" w:hanging="180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C1A7A17"/>
    <w:multiLevelType w:val="hybridMultilevel"/>
    <w:tmpl w:val="21D0910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F324A"/>
    <w:multiLevelType w:val="hybridMultilevel"/>
    <w:tmpl w:val="5D7024A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2426C"/>
    <w:multiLevelType w:val="hybridMultilevel"/>
    <w:tmpl w:val="EB221FF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90175"/>
    <w:multiLevelType w:val="hybridMultilevel"/>
    <w:tmpl w:val="86947454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BD"/>
    <w:rsid w:val="00000B07"/>
    <w:rsid w:val="0000136B"/>
    <w:rsid w:val="0000225E"/>
    <w:rsid w:val="00003CDA"/>
    <w:rsid w:val="00003EF1"/>
    <w:rsid w:val="00005415"/>
    <w:rsid w:val="00007710"/>
    <w:rsid w:val="00026CBD"/>
    <w:rsid w:val="00030473"/>
    <w:rsid w:val="00031917"/>
    <w:rsid w:val="00031A0D"/>
    <w:rsid w:val="00032312"/>
    <w:rsid w:val="00033116"/>
    <w:rsid w:val="000409D4"/>
    <w:rsid w:val="00042BE0"/>
    <w:rsid w:val="000430D1"/>
    <w:rsid w:val="000438B5"/>
    <w:rsid w:val="000519C1"/>
    <w:rsid w:val="0005758E"/>
    <w:rsid w:val="000602A9"/>
    <w:rsid w:val="00066E4E"/>
    <w:rsid w:val="0007025B"/>
    <w:rsid w:val="000716D2"/>
    <w:rsid w:val="000761E5"/>
    <w:rsid w:val="000822CA"/>
    <w:rsid w:val="00082A0F"/>
    <w:rsid w:val="00090D14"/>
    <w:rsid w:val="00094676"/>
    <w:rsid w:val="000A1C0B"/>
    <w:rsid w:val="000A7174"/>
    <w:rsid w:val="000B5B51"/>
    <w:rsid w:val="000C1330"/>
    <w:rsid w:val="000C3FAE"/>
    <w:rsid w:val="000C472A"/>
    <w:rsid w:val="000D0BE3"/>
    <w:rsid w:val="000D17EF"/>
    <w:rsid w:val="000E044D"/>
    <w:rsid w:val="000E34F2"/>
    <w:rsid w:val="000F22EB"/>
    <w:rsid w:val="000F33C8"/>
    <w:rsid w:val="00102DC6"/>
    <w:rsid w:val="00110096"/>
    <w:rsid w:val="00112757"/>
    <w:rsid w:val="00115444"/>
    <w:rsid w:val="00133759"/>
    <w:rsid w:val="00140291"/>
    <w:rsid w:val="00145312"/>
    <w:rsid w:val="0014637B"/>
    <w:rsid w:val="00147001"/>
    <w:rsid w:val="00163A43"/>
    <w:rsid w:val="001705DB"/>
    <w:rsid w:val="001725B5"/>
    <w:rsid w:val="00175D43"/>
    <w:rsid w:val="00176181"/>
    <w:rsid w:val="00184843"/>
    <w:rsid w:val="00184DFE"/>
    <w:rsid w:val="00185D1E"/>
    <w:rsid w:val="00190549"/>
    <w:rsid w:val="00195AB0"/>
    <w:rsid w:val="001A0846"/>
    <w:rsid w:val="001A4DDD"/>
    <w:rsid w:val="001B07E0"/>
    <w:rsid w:val="001B14AB"/>
    <w:rsid w:val="001B3B63"/>
    <w:rsid w:val="001B5667"/>
    <w:rsid w:val="001C07AA"/>
    <w:rsid w:val="001D7B72"/>
    <w:rsid w:val="001E688C"/>
    <w:rsid w:val="001E6F8C"/>
    <w:rsid w:val="001F2927"/>
    <w:rsid w:val="001F2CB6"/>
    <w:rsid w:val="001F36CF"/>
    <w:rsid w:val="001F3CAE"/>
    <w:rsid w:val="00204C2E"/>
    <w:rsid w:val="002228C7"/>
    <w:rsid w:val="00223A06"/>
    <w:rsid w:val="0022444A"/>
    <w:rsid w:val="00225269"/>
    <w:rsid w:val="002277BF"/>
    <w:rsid w:val="00235962"/>
    <w:rsid w:val="00237A4E"/>
    <w:rsid w:val="00242F1E"/>
    <w:rsid w:val="00252C4A"/>
    <w:rsid w:val="00256528"/>
    <w:rsid w:val="00256F4E"/>
    <w:rsid w:val="00257837"/>
    <w:rsid w:val="002638B0"/>
    <w:rsid w:val="00266E7C"/>
    <w:rsid w:val="00270714"/>
    <w:rsid w:val="00283E27"/>
    <w:rsid w:val="002870C9"/>
    <w:rsid w:val="00293695"/>
    <w:rsid w:val="00294397"/>
    <w:rsid w:val="002A1407"/>
    <w:rsid w:val="002A769F"/>
    <w:rsid w:val="002B2357"/>
    <w:rsid w:val="002B7B17"/>
    <w:rsid w:val="002C4514"/>
    <w:rsid w:val="002D4EC5"/>
    <w:rsid w:val="002D71B2"/>
    <w:rsid w:val="002E3273"/>
    <w:rsid w:val="002E6EAB"/>
    <w:rsid w:val="002E7160"/>
    <w:rsid w:val="002E79CD"/>
    <w:rsid w:val="002E7E5B"/>
    <w:rsid w:val="002F1DCD"/>
    <w:rsid w:val="002F5DD4"/>
    <w:rsid w:val="00303B1A"/>
    <w:rsid w:val="003100E8"/>
    <w:rsid w:val="0032420B"/>
    <w:rsid w:val="00324F87"/>
    <w:rsid w:val="003354FF"/>
    <w:rsid w:val="0034115D"/>
    <w:rsid w:val="00342FF4"/>
    <w:rsid w:val="00344072"/>
    <w:rsid w:val="00346E9C"/>
    <w:rsid w:val="0035230B"/>
    <w:rsid w:val="00355B3A"/>
    <w:rsid w:val="003636D5"/>
    <w:rsid w:val="003756A7"/>
    <w:rsid w:val="003779BD"/>
    <w:rsid w:val="003878D8"/>
    <w:rsid w:val="00396BF5"/>
    <w:rsid w:val="003976AC"/>
    <w:rsid w:val="00397C70"/>
    <w:rsid w:val="003A3860"/>
    <w:rsid w:val="003C2113"/>
    <w:rsid w:val="003D6DD1"/>
    <w:rsid w:val="003E6970"/>
    <w:rsid w:val="003F0EC2"/>
    <w:rsid w:val="003F4116"/>
    <w:rsid w:val="00402558"/>
    <w:rsid w:val="00416584"/>
    <w:rsid w:val="004222C3"/>
    <w:rsid w:val="00423EE6"/>
    <w:rsid w:val="00432AF0"/>
    <w:rsid w:val="00455681"/>
    <w:rsid w:val="00462682"/>
    <w:rsid w:val="0047162A"/>
    <w:rsid w:val="00475D4A"/>
    <w:rsid w:val="00476C49"/>
    <w:rsid w:val="00477189"/>
    <w:rsid w:val="00480500"/>
    <w:rsid w:val="00481435"/>
    <w:rsid w:val="004876F0"/>
    <w:rsid w:val="00487EB3"/>
    <w:rsid w:val="004A0892"/>
    <w:rsid w:val="004A15EB"/>
    <w:rsid w:val="004A541E"/>
    <w:rsid w:val="004A7D5D"/>
    <w:rsid w:val="004B3D78"/>
    <w:rsid w:val="004D3307"/>
    <w:rsid w:val="004E6E69"/>
    <w:rsid w:val="005065D1"/>
    <w:rsid w:val="00507605"/>
    <w:rsid w:val="0050770C"/>
    <w:rsid w:val="0051146C"/>
    <w:rsid w:val="005161F1"/>
    <w:rsid w:val="0051749E"/>
    <w:rsid w:val="005209E7"/>
    <w:rsid w:val="005231CF"/>
    <w:rsid w:val="0054095C"/>
    <w:rsid w:val="00557074"/>
    <w:rsid w:val="00563A86"/>
    <w:rsid w:val="00564BFC"/>
    <w:rsid w:val="00573A44"/>
    <w:rsid w:val="005754AA"/>
    <w:rsid w:val="00582956"/>
    <w:rsid w:val="0058318E"/>
    <w:rsid w:val="005B634B"/>
    <w:rsid w:val="005C0F41"/>
    <w:rsid w:val="005C4382"/>
    <w:rsid w:val="005D0BF6"/>
    <w:rsid w:val="005D293A"/>
    <w:rsid w:val="005D78EC"/>
    <w:rsid w:val="005E4522"/>
    <w:rsid w:val="005F5AAF"/>
    <w:rsid w:val="006003D7"/>
    <w:rsid w:val="00612457"/>
    <w:rsid w:val="00612C79"/>
    <w:rsid w:val="0061333F"/>
    <w:rsid w:val="00620647"/>
    <w:rsid w:val="006218D2"/>
    <w:rsid w:val="00640CCC"/>
    <w:rsid w:val="00640F2D"/>
    <w:rsid w:val="00663964"/>
    <w:rsid w:val="0069617F"/>
    <w:rsid w:val="0069653A"/>
    <w:rsid w:val="006A20BB"/>
    <w:rsid w:val="006B43B5"/>
    <w:rsid w:val="006C2385"/>
    <w:rsid w:val="006C332D"/>
    <w:rsid w:val="006C7C5F"/>
    <w:rsid w:val="006D230A"/>
    <w:rsid w:val="006D579F"/>
    <w:rsid w:val="006D6B43"/>
    <w:rsid w:val="006E0618"/>
    <w:rsid w:val="006E656A"/>
    <w:rsid w:val="006E7497"/>
    <w:rsid w:val="006F5485"/>
    <w:rsid w:val="0070069F"/>
    <w:rsid w:val="00711F36"/>
    <w:rsid w:val="00726237"/>
    <w:rsid w:val="007307F4"/>
    <w:rsid w:val="0073106A"/>
    <w:rsid w:val="0073665A"/>
    <w:rsid w:val="0074756F"/>
    <w:rsid w:val="00753640"/>
    <w:rsid w:val="00754618"/>
    <w:rsid w:val="00773E36"/>
    <w:rsid w:val="0077591A"/>
    <w:rsid w:val="00775C09"/>
    <w:rsid w:val="00776AD4"/>
    <w:rsid w:val="007B4F65"/>
    <w:rsid w:val="007B5F52"/>
    <w:rsid w:val="007C0565"/>
    <w:rsid w:val="007C2EA3"/>
    <w:rsid w:val="007E61B5"/>
    <w:rsid w:val="007E668B"/>
    <w:rsid w:val="007F2468"/>
    <w:rsid w:val="0080352D"/>
    <w:rsid w:val="00816F38"/>
    <w:rsid w:val="00831CE4"/>
    <w:rsid w:val="00835D73"/>
    <w:rsid w:val="00842838"/>
    <w:rsid w:val="00863ED8"/>
    <w:rsid w:val="008667AE"/>
    <w:rsid w:val="00873133"/>
    <w:rsid w:val="00880EAA"/>
    <w:rsid w:val="00881C39"/>
    <w:rsid w:val="008874F1"/>
    <w:rsid w:val="0089131D"/>
    <w:rsid w:val="0089193A"/>
    <w:rsid w:val="008A0C36"/>
    <w:rsid w:val="008A2B65"/>
    <w:rsid w:val="008C4481"/>
    <w:rsid w:val="008D7E10"/>
    <w:rsid w:val="008E3849"/>
    <w:rsid w:val="008E4A1F"/>
    <w:rsid w:val="008F0FEF"/>
    <w:rsid w:val="008F260C"/>
    <w:rsid w:val="008F2673"/>
    <w:rsid w:val="008F325C"/>
    <w:rsid w:val="008F368D"/>
    <w:rsid w:val="008F6043"/>
    <w:rsid w:val="00906981"/>
    <w:rsid w:val="009110E7"/>
    <w:rsid w:val="0093150D"/>
    <w:rsid w:val="00933BE2"/>
    <w:rsid w:val="009434C0"/>
    <w:rsid w:val="00961AA9"/>
    <w:rsid w:val="0097677B"/>
    <w:rsid w:val="00991058"/>
    <w:rsid w:val="009926A6"/>
    <w:rsid w:val="009A1CBC"/>
    <w:rsid w:val="009A3F5A"/>
    <w:rsid w:val="009A605D"/>
    <w:rsid w:val="009A6E06"/>
    <w:rsid w:val="009A6F1F"/>
    <w:rsid w:val="009C4E09"/>
    <w:rsid w:val="009D606D"/>
    <w:rsid w:val="009E4499"/>
    <w:rsid w:val="009F0C88"/>
    <w:rsid w:val="009F2229"/>
    <w:rsid w:val="009F2DA5"/>
    <w:rsid w:val="00A0541E"/>
    <w:rsid w:val="00A06808"/>
    <w:rsid w:val="00A10083"/>
    <w:rsid w:val="00A1081C"/>
    <w:rsid w:val="00A1610B"/>
    <w:rsid w:val="00A2177B"/>
    <w:rsid w:val="00A23CC8"/>
    <w:rsid w:val="00A260C6"/>
    <w:rsid w:val="00A30391"/>
    <w:rsid w:val="00A30CCE"/>
    <w:rsid w:val="00A37037"/>
    <w:rsid w:val="00A50877"/>
    <w:rsid w:val="00A615F6"/>
    <w:rsid w:val="00A81073"/>
    <w:rsid w:val="00A83205"/>
    <w:rsid w:val="00A90796"/>
    <w:rsid w:val="00A979E0"/>
    <w:rsid w:val="00A97CEC"/>
    <w:rsid w:val="00AA145E"/>
    <w:rsid w:val="00AB2245"/>
    <w:rsid w:val="00AB2A8A"/>
    <w:rsid w:val="00AB5FAE"/>
    <w:rsid w:val="00AB7086"/>
    <w:rsid w:val="00AB73DC"/>
    <w:rsid w:val="00AC0532"/>
    <w:rsid w:val="00AD5659"/>
    <w:rsid w:val="00AD70C0"/>
    <w:rsid w:val="00AE13C4"/>
    <w:rsid w:val="00AE3C65"/>
    <w:rsid w:val="00AE7196"/>
    <w:rsid w:val="00AF74F9"/>
    <w:rsid w:val="00B148A2"/>
    <w:rsid w:val="00B256E3"/>
    <w:rsid w:val="00B34BA6"/>
    <w:rsid w:val="00B354FC"/>
    <w:rsid w:val="00B4099D"/>
    <w:rsid w:val="00B424E7"/>
    <w:rsid w:val="00B467BC"/>
    <w:rsid w:val="00B51605"/>
    <w:rsid w:val="00B548B3"/>
    <w:rsid w:val="00B556B9"/>
    <w:rsid w:val="00B873BA"/>
    <w:rsid w:val="00BA3FA6"/>
    <w:rsid w:val="00BB468C"/>
    <w:rsid w:val="00BC20CD"/>
    <w:rsid w:val="00BC5661"/>
    <w:rsid w:val="00BE2C92"/>
    <w:rsid w:val="00BE3DFF"/>
    <w:rsid w:val="00BE52BC"/>
    <w:rsid w:val="00C1090C"/>
    <w:rsid w:val="00C113C5"/>
    <w:rsid w:val="00C20D9B"/>
    <w:rsid w:val="00C24656"/>
    <w:rsid w:val="00C24B28"/>
    <w:rsid w:val="00C25F97"/>
    <w:rsid w:val="00C266A6"/>
    <w:rsid w:val="00C409FE"/>
    <w:rsid w:val="00C42758"/>
    <w:rsid w:val="00C52C18"/>
    <w:rsid w:val="00C6141A"/>
    <w:rsid w:val="00C6239A"/>
    <w:rsid w:val="00C66BAE"/>
    <w:rsid w:val="00C6716D"/>
    <w:rsid w:val="00C7230B"/>
    <w:rsid w:val="00C7417B"/>
    <w:rsid w:val="00C77F56"/>
    <w:rsid w:val="00C8699F"/>
    <w:rsid w:val="00C932A7"/>
    <w:rsid w:val="00CA37FE"/>
    <w:rsid w:val="00CA650A"/>
    <w:rsid w:val="00CA7174"/>
    <w:rsid w:val="00CB0D42"/>
    <w:rsid w:val="00CB5B3B"/>
    <w:rsid w:val="00CB5F3F"/>
    <w:rsid w:val="00CC53C9"/>
    <w:rsid w:val="00CC612C"/>
    <w:rsid w:val="00CC77CE"/>
    <w:rsid w:val="00CE35BB"/>
    <w:rsid w:val="00CF09EA"/>
    <w:rsid w:val="00CF20E4"/>
    <w:rsid w:val="00CF4F7B"/>
    <w:rsid w:val="00CF5746"/>
    <w:rsid w:val="00D16C13"/>
    <w:rsid w:val="00D23A6E"/>
    <w:rsid w:val="00D33310"/>
    <w:rsid w:val="00D60041"/>
    <w:rsid w:val="00D6632C"/>
    <w:rsid w:val="00D71271"/>
    <w:rsid w:val="00D84EFB"/>
    <w:rsid w:val="00D876ED"/>
    <w:rsid w:val="00D95A0A"/>
    <w:rsid w:val="00DB1BA1"/>
    <w:rsid w:val="00DB4CDE"/>
    <w:rsid w:val="00DC2D1A"/>
    <w:rsid w:val="00DC6239"/>
    <w:rsid w:val="00DD60D1"/>
    <w:rsid w:val="00DF4FAD"/>
    <w:rsid w:val="00DF750B"/>
    <w:rsid w:val="00E05EE3"/>
    <w:rsid w:val="00E1440F"/>
    <w:rsid w:val="00E15710"/>
    <w:rsid w:val="00E16A8E"/>
    <w:rsid w:val="00E27A9E"/>
    <w:rsid w:val="00E54416"/>
    <w:rsid w:val="00E62948"/>
    <w:rsid w:val="00E67C61"/>
    <w:rsid w:val="00E70C00"/>
    <w:rsid w:val="00E76FC6"/>
    <w:rsid w:val="00E80B03"/>
    <w:rsid w:val="00E82787"/>
    <w:rsid w:val="00E83F12"/>
    <w:rsid w:val="00E85C0D"/>
    <w:rsid w:val="00E90D6A"/>
    <w:rsid w:val="00E93D39"/>
    <w:rsid w:val="00E96F44"/>
    <w:rsid w:val="00EB5EB5"/>
    <w:rsid w:val="00EC562E"/>
    <w:rsid w:val="00EE6DBE"/>
    <w:rsid w:val="00F04FB2"/>
    <w:rsid w:val="00F11033"/>
    <w:rsid w:val="00F21C64"/>
    <w:rsid w:val="00F4276E"/>
    <w:rsid w:val="00F42FB6"/>
    <w:rsid w:val="00F43A2A"/>
    <w:rsid w:val="00F50B01"/>
    <w:rsid w:val="00F549C8"/>
    <w:rsid w:val="00F57502"/>
    <w:rsid w:val="00F72700"/>
    <w:rsid w:val="00F74623"/>
    <w:rsid w:val="00F747E2"/>
    <w:rsid w:val="00F75942"/>
    <w:rsid w:val="00F808A7"/>
    <w:rsid w:val="00F97652"/>
    <w:rsid w:val="00FA5631"/>
    <w:rsid w:val="00FD39ED"/>
    <w:rsid w:val="00FE0E7F"/>
    <w:rsid w:val="00FE71AA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B3F3EA"/>
  <w15:docId w15:val="{E33FFB5B-681E-4893-BAD3-18410500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46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/>
      <w:b/>
      <w:iCs/>
      <w:sz w:val="28"/>
      <w:szCs w:val="28"/>
      <w:lang w:val="ro-RO"/>
    </w:rPr>
  </w:style>
  <w:style w:type="character" w:customStyle="1" w:styleId="WW8Num4z0">
    <w:name w:val="WW8Num4z0"/>
    <w:rPr>
      <w:rFonts w:ascii="Times New Roman" w:hAnsi="Times New Roman" w:cs="Times New Roman"/>
      <w:b/>
      <w:sz w:val="24"/>
      <w:szCs w:val="24"/>
      <w:lang w:val="ro-RO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BodyTextChar">
    <w:name w:val="Body Text Char"/>
    <w:rPr>
      <w:rFonts w:ascii="Arial" w:eastAsia="Times New Roman" w:hAnsi="Arial" w:cs="Arial"/>
      <w:b/>
      <w:sz w:val="24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lang w:val="x-none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efaultText1">
    <w:name w:val="Default Text:1"/>
    <w:basedOn w:val="Normal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pPr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">
    <w:name w:val="Default Text"/>
    <w:basedOn w:val="Normal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racterCaracter">
    <w:name w:val="Caracter Caracter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lang w:val="x-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lang w:val="x-non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paragraph" w:customStyle="1" w:styleId="Char">
    <w:name w:val="Char"/>
    <w:basedOn w:val="Normal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170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05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05DB"/>
    <w:rPr>
      <w:rFonts w:ascii="Calibri" w:eastAsia="Calibri" w:hAnsi="Calibri" w:cs="Calibri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5DB"/>
    <w:rPr>
      <w:rFonts w:ascii="Calibri" w:eastAsia="Calibri" w:hAnsi="Calibri" w:cs="Calibri"/>
      <w:b/>
      <w:bCs/>
      <w:lang w:val="en-US" w:eastAsia="zh-CN"/>
    </w:rPr>
  </w:style>
  <w:style w:type="paragraph" w:customStyle="1" w:styleId="CaracterCaracter0">
    <w:name w:val="Caracter Caracter"/>
    <w:basedOn w:val="Normal"/>
    <w:rsid w:val="00B8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table" w:styleId="TableGrid">
    <w:name w:val="Table Grid"/>
    <w:basedOn w:val="TableNormal"/>
    <w:uiPriority w:val="59"/>
    <w:rsid w:val="006C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0326-BAAA-4152-ADB4-F6F69211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2239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Chiripus</dc:creator>
  <cp:lastModifiedBy>MFP - DGCFP</cp:lastModifiedBy>
  <cp:revision>4</cp:revision>
  <cp:lastPrinted>2017-07-14T14:21:00Z</cp:lastPrinted>
  <dcterms:created xsi:type="dcterms:W3CDTF">2017-07-14T14:22:00Z</dcterms:created>
  <dcterms:modified xsi:type="dcterms:W3CDTF">2017-07-17T10:08:00Z</dcterms:modified>
</cp:coreProperties>
</file>