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7FF" w:rsidRPr="003A10A8" w:rsidRDefault="00DC77FF" w:rsidP="00EF1C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3A10A8">
        <w:rPr>
          <w:rFonts w:ascii="Times New Roman" w:hAnsi="Times New Roman" w:cs="Times New Roman"/>
          <w:b/>
          <w:bCs/>
          <w:sz w:val="24"/>
          <w:szCs w:val="24"/>
          <w:lang w:val="ro-RO"/>
        </w:rPr>
        <w:t>GUVERNUL ROMÂNIEI</w:t>
      </w: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508643943"/>
      <w:r w:rsidRPr="003A10A8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HOTĂRÂRE</w:t>
      </w:r>
    </w:p>
    <w:p w:rsidR="00F9778F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suplimentarea bugetului Ministerului Economiei din Fondul de rezervă bugetară la dispoziția Guvernului prevăzut în bugetul de stat pe anul 2018, precum și 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aprobarea amplasamentului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 declan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area procedurii de expropriere a imobilelor proprietate privată care constit</w:t>
      </w:r>
      <w:r w:rsidR="003A10A8">
        <w:rPr>
          <w:rFonts w:ascii="Times New Roman" w:hAnsi="Times New Roman" w:cs="Times New Roman"/>
          <w:sz w:val="24"/>
          <w:szCs w:val="24"/>
          <w:lang w:val="ro-RO"/>
        </w:rPr>
        <w:t xml:space="preserve">uie coridorul de expropriere </w:t>
      </w:r>
      <w:r w:rsidR="008F481C" w:rsidRPr="008F481C">
        <w:rPr>
          <w:rFonts w:ascii="Times New Roman" w:hAnsi="Times New Roman" w:cs="Times New Roman"/>
          <w:sz w:val="24"/>
          <w:szCs w:val="24"/>
          <w:lang w:val="ro-RO"/>
        </w:rPr>
        <w:t xml:space="preserve">al lucrării de utilitate publică de interes național </w:t>
      </w:r>
      <w:bookmarkStart w:id="2" w:name="_Hlk509244356"/>
      <w:bookmarkEnd w:id="1"/>
      <w:r w:rsidR="00F9778F" w:rsidRPr="00F9778F">
        <w:rPr>
          <w:rFonts w:ascii="Times New Roman" w:hAnsi="Times New Roman" w:cs="Times New Roman"/>
          <w:sz w:val="24"/>
          <w:szCs w:val="24"/>
          <w:lang w:val="ro-RO"/>
        </w:rPr>
        <w:t>''LEA 400kv Oradea -Beckescsaba .</w:t>
      </w:r>
      <w:r w:rsidR="00F977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9778F" w:rsidRPr="00F9778F">
        <w:rPr>
          <w:rFonts w:ascii="Times New Roman" w:hAnsi="Times New Roman" w:cs="Times New Roman"/>
          <w:sz w:val="24"/>
          <w:szCs w:val="24"/>
          <w:lang w:val="ro-RO"/>
        </w:rPr>
        <w:t>Montarea unei bobine de compensare 100 MVAr in statia 400kv Oradea Sud. Echipamente de telecomunicații si teletransmisii pentru LEA 400 kV Oradea- Beckescsaba''</w:t>
      </w:r>
    </w:p>
    <w:bookmarkEnd w:id="2"/>
    <w:p w:rsidR="00DC77FF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În temeiul art. 108 din </w:t>
      </w:r>
      <w:r w:rsidR="00CF6983" w:rsidRPr="003A10A8">
        <w:rPr>
          <w:rFonts w:ascii="Times New Roman" w:hAnsi="Times New Roman" w:cs="Times New Roman"/>
          <w:sz w:val="24"/>
          <w:szCs w:val="24"/>
          <w:lang w:val="ro-RO"/>
        </w:rPr>
        <w:t>Constitu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F6983" w:rsidRPr="003A10A8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României, republicată, al</w:t>
      </w:r>
      <w:r w:rsidR="00CF6983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art. 30 alin. (2) din Legea                 nr. 500/2002 privind finan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ț</w:t>
      </w:r>
      <w:r w:rsidR="00CF6983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ele publice, cu modificările 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ș</w:t>
      </w:r>
      <w:r w:rsidR="00CF6983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i completările ulterioare, al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art. 2 alin. (3) lit. d</w:t>
      </w:r>
      <w:r w:rsidRPr="003A10A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), al </w:t>
      </w:r>
      <w:r w:rsidRPr="003A10A8">
        <w:rPr>
          <w:rFonts w:ascii="Times New Roman" w:hAnsi="Times New Roman" w:cs="Times New Roman"/>
          <w:vanish/>
          <w:sz w:val="24"/>
          <w:szCs w:val="24"/>
          <w:lang w:val="ro-RO"/>
        </w:rPr>
        <w:t>&lt;LLNK 12010   255 10 202   5 29&gt;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art. 5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 al art. 32 din Legea nr. 255/2010 privind exproprierea pentru cauză de utilitate publică, necesară realizării unor obiective de interes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ional, jude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ean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local, cu modificările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completările ulterioare,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al </w:t>
      </w:r>
      <w:r w:rsidRPr="003A10A8">
        <w:rPr>
          <w:rFonts w:ascii="Times New Roman" w:hAnsi="Times New Roman" w:cs="Times New Roman"/>
          <w:vanish/>
          <w:sz w:val="24"/>
          <w:szCs w:val="24"/>
          <w:lang w:val="ro-RO"/>
        </w:rPr>
        <w:t>&lt;LLNK 12012   123 10 202   4 80&gt;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art. 4 alin. (3) din Legea energiei electrice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a gazelor naturale nr. 123/2012, cu modificările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 completările ulterioare,</w:t>
      </w:r>
    </w:p>
    <w:p w:rsidR="009821A4" w:rsidRPr="003A10A8" w:rsidRDefault="00EF1C69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77FF" w:rsidRPr="003A10A8">
        <w:rPr>
          <w:rFonts w:ascii="Times New Roman" w:hAnsi="Times New Roman" w:cs="Times New Roman"/>
          <w:sz w:val="24"/>
          <w:szCs w:val="24"/>
          <w:lang w:val="ro-RO"/>
        </w:rPr>
        <w:t>Guvernul României adoptă prezenta hotărâre.</w:t>
      </w:r>
    </w:p>
    <w:p w:rsidR="006E2BE3" w:rsidRPr="003A10A8" w:rsidRDefault="006E2BE3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F6983" w:rsidRDefault="00CF6983" w:rsidP="00EF1C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 w:rsidRPr="003A10A8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ART. 1</w:t>
      </w:r>
    </w:p>
    <w:p w:rsidR="00C739AE" w:rsidRPr="003A10A8" w:rsidRDefault="00C739AE" w:rsidP="00C739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Se aprobă amplasamentul lucrării de utilitate publică de interes național “LEA 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400 kV Oradea-Bekescsaba. Montarea unei bobine de compensare 100 MV Ar în stația 400 kV Oradea Sud. Echipamente de telecomunicații și teletransmisii pentru LEA 400 kV Oradea-Bekescsaba. Finalizarea tronsonului 1-42, inclusiv deviere rețele electrice de 110 kV și 20 KV”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A10A8">
        <w:rPr>
          <w:rStyle w:val="l5def2"/>
          <w:rFonts w:ascii="Times New Roman" w:hAnsi="Times New Roman" w:cs="Times New Roman"/>
          <w:sz w:val="24"/>
          <w:szCs w:val="24"/>
          <w:lang w:val="ro-RO"/>
        </w:rPr>
        <w:t>potrivit planului de amplasament/hărții topografice prevăzute în anexa nr. 1</w:t>
      </w:r>
      <w:r w:rsidRPr="003A10A8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, conform variantei finale a studiului de fezabilitate. </w:t>
      </w:r>
    </w:p>
    <w:p w:rsidR="00C739AE" w:rsidRPr="003A10A8" w:rsidRDefault="00C739AE" w:rsidP="00EF1C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ART. 2</w:t>
      </w:r>
    </w:p>
    <w:p w:rsidR="00CF6983" w:rsidRPr="003A10A8" w:rsidRDefault="00CF6983" w:rsidP="00EF1C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</w:pP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Se aprobă suplimentarea bugetului Ministerului Economiei din Fondul de rezervă bugetară la dispozi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ț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ia Guvernului, prevăzut în bugetul de stat pe anul 2018, la capitolul 81.01 „Combustibili si energie“, titlul 55 „Alte transferuri“, articolul 55.01.12 ”Investi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ț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ii agen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ț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i economici cu capital de stat” cu suma de 25 mii lei, pentru acoperirea cheltuielilor </w:t>
      </w:r>
      <w:r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destinate realizării exproprierilor necesare pentru realizarea </w:t>
      </w:r>
      <w:r w:rsidR="008F481C" w:rsidRPr="008F481C">
        <w:rPr>
          <w:rFonts w:ascii="Times New Roman" w:hAnsi="Times New Roman" w:cs="Times New Roman"/>
          <w:sz w:val="24"/>
          <w:szCs w:val="24"/>
          <w:lang w:val="ro-RO"/>
        </w:rPr>
        <w:t xml:space="preserve">lucrării de utilitate publică de interes național </w:t>
      </w:r>
      <w:r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"LEA 400 kV Oradea-Bekescsaba. Montarea unei bobine de compensare 100 MV Ar în sta</w:t>
      </w:r>
      <w:r w:rsidR="006D0554"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400 kV Oradea Sud. Echipamente de telecomunica</w:t>
      </w:r>
      <w:r w:rsidR="006D0554"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 </w:t>
      </w:r>
      <w:r w:rsidR="006D0554"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3A10A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teletransmisii pentru LEA 400 kV Oradea-Bekescsaba”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.</w:t>
      </w:r>
    </w:p>
    <w:p w:rsidR="00CF6983" w:rsidRPr="003A10A8" w:rsidRDefault="00C739AE" w:rsidP="00EF1C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ART. 3</w:t>
      </w:r>
    </w:p>
    <w:p w:rsidR="00CF6983" w:rsidRPr="003A10A8" w:rsidRDefault="00CF6983" w:rsidP="00EF1C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</w:pP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Ministerul Economiei</w:t>
      </w:r>
      <w:r w:rsidR="00EF1C69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,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</w:t>
      </w:r>
      <w:r w:rsidR="00EF1C69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prin Compania Națională de Transport a Energiei Electrice Transelectrica S.A., 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răspunde de modul de utilizare, în conformitate cu dispozi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ț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iile legale, a sumelor alocate potrivit prevederilor art. </w:t>
      </w:r>
      <w:r w:rsidR="00C739AE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2</w:t>
      </w:r>
      <w:r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.</w:t>
      </w:r>
    </w:p>
    <w:p w:rsidR="006E2BE3" w:rsidRPr="00F9778F" w:rsidRDefault="00C739AE" w:rsidP="00EF1C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>ART. 4</w:t>
      </w:r>
      <w:r w:rsidR="00F9778F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 xml:space="preserve">  </w:t>
      </w:r>
      <w:r w:rsidR="00CF6983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Se autorizează Ministerul Finan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ț</w:t>
      </w:r>
      <w:r w:rsidR="00CF6983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elor Publice să introducă, la propunerea ordonatorului principal de credite, modificările corespunzătoare în structura bugetului de stat 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ș</w:t>
      </w:r>
      <w:r w:rsidR="00CF6983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i în volumul </w:t>
      </w:r>
      <w:r w:rsidR="006D0554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ș</w:t>
      </w:r>
      <w:r w:rsidR="00CF6983" w:rsidRPr="003A10A8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i structura bugetului Ministerului Economiei pe anul 2018.</w:t>
      </w:r>
    </w:p>
    <w:p w:rsidR="006E2BE3" w:rsidRPr="003A10A8" w:rsidRDefault="00CF6983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 5</w:t>
      </w:r>
      <w:r w:rsidR="00DC77FF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C77FF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Se aprobă declan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area procedurilor de expropriere a imobilelor proprietate privată care constituie coridorul de expropriere</w:t>
      </w:r>
      <w:r w:rsidR="00173772" w:rsidRPr="003A10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3772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situat pe amplasamentul lucrării de utilitate publică de interes național 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“LEA 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400 kV Oradea-Bekescsaba. Montarea unei bobine de compensare 100 MV Ar în sta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ia 400 kV Oradea Sud. Echipamente de telecomunica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 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i teletransmisii pentru LEA 400 kV Oradea-Bekescsaba. Finalizarea tronsonului 1-42</w:t>
      </w:r>
      <w:r w:rsidR="004958F5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, inclusiv deviere re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4958F5" w:rsidRPr="003A10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ele electrice de 110 kV 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="004958F5" w:rsidRPr="003A10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20 KV 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", expropriator fiind statul român, reprezentat de </w:t>
      </w:r>
      <w:r w:rsidR="004958F5" w:rsidRPr="003A10A8">
        <w:rPr>
          <w:rFonts w:ascii="Times New Roman" w:hAnsi="Times New Roman" w:cs="Times New Roman"/>
          <w:sz w:val="24"/>
          <w:szCs w:val="24"/>
          <w:lang w:val="ro-RO"/>
        </w:rPr>
        <w:t>Ministerul Economiei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, prin Compania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ională de Transport al Energiei Electrice "Transelectrica" - S.A.</w:t>
      </w:r>
      <w:r w:rsidR="00AE00B0" w:rsidRPr="003A10A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21A4" w:rsidRPr="003A10A8" w:rsidRDefault="00CF6983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>ART. 6</w:t>
      </w:r>
      <w:r w:rsidR="004958F5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C77FF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Se aprobă lista cuprinzând imobilele proprietate privată supuse exproprierii potrivit a</w:t>
      </w:r>
      <w:r w:rsidR="004958F5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rt. </w:t>
      </w:r>
      <w:r w:rsidR="00AE00B0" w:rsidRPr="003A10A8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, situate pe raza municipiului Oradea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a comunelor Sânmartin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 Nojorid, jude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ul Bihor, proprietarii sau de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inătorii acestora, precum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sumele individuale aferente despăgubirilor, </w:t>
      </w:r>
      <w:r w:rsidR="004958F5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astfel cum este 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prevăzută în anexa nr. 2.</w:t>
      </w:r>
    </w:p>
    <w:p w:rsidR="009821A4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CF6983" w:rsidRPr="003A10A8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58F5" w:rsidRPr="003A10A8" w:rsidRDefault="004958F5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Se aprobă sumele individuale estimate de către expropriator, aferente despăgubirilor pentru imobilele proprietate privată situate pe amplasamentul lucrării de utilitate publică de interes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ional prevăzut la art. </w:t>
      </w:r>
      <w:r w:rsidR="008D67C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, situate pe raza </w:t>
      </w:r>
      <w:r w:rsidR="00AE00B0" w:rsidRPr="003A10A8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Oradea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a comunei Sânmartin, </w:t>
      </w:r>
      <w:r w:rsidR="00192FE6" w:rsidRPr="003A10A8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192FE6" w:rsidRPr="003A10A8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Bihor, în cuantum total de 2</w:t>
      </w:r>
      <w:r w:rsidR="00456CD2" w:rsidRPr="003A10A8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.908 lei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 se asigură</w:t>
      </w:r>
      <w:r w:rsidR="00AE00B0" w:rsidRPr="003A10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00B0" w:rsidRPr="003A10A8">
        <w:rPr>
          <w:rFonts w:ascii="Times New Roman" w:hAnsi="Times New Roman" w:cs="Times New Roman"/>
          <w:sz w:val="24"/>
          <w:szCs w:val="24"/>
          <w:lang w:val="ro-RO"/>
        </w:rPr>
        <w:t>în condițiile art.</w:t>
      </w:r>
      <w:r w:rsidR="008D67CA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E00B0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de la bugetul de stat, prin bugetul Ministerului Economiei, de la capitolul 81.01 "Combustibili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 energie", titlul 55 "Alte transferuri", alineatul 55.01.12 "Investi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ii ale agen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ilor economici cu capital de stat".</w:t>
      </w:r>
    </w:p>
    <w:p w:rsidR="009821A4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CF6983" w:rsidRPr="003A10A8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456CD2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Suma 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de 24.908 lei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se virează 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de la bugetul de stat, prin Ministerul Economiei, în termen de cel mult 30 de zile de la data solicitării, într-un cont bancar deschis pe numele Companiei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ionale de Transport al Energiei Electrice "Transelectrica" - S.A. la dispozi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ia proprietarilor de imobile, pentru lucrarea de utilitate publică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 de interes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ional, în vederea efectuării despăgubirilor în cadrul procedurilor de expropriere, în condi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iile legii.</w:t>
      </w:r>
      <w:r w:rsidR="00456CD2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821A4" w:rsidRPr="003A10A8" w:rsidRDefault="00CF6983" w:rsidP="00EF1C6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>ART. 9</w:t>
      </w:r>
    </w:p>
    <w:p w:rsidR="005A7B67" w:rsidRPr="003A10A8" w:rsidRDefault="00456CD2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(1) Ministerul Economiei, prin Compania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ională de Transport al Energiei Electrice "Transelectrica" - S.A., răspunde de realitatea datelor înscrise în lista cuprinzând imobilele proprietate privată care constituie coridorul de expropriere al lucrării de utilitate publică de interes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ional prevăzute la art. </w:t>
      </w:r>
      <w:r w:rsidR="00C739A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, de corectitudinea datelor înscrise în documentele care au stat la baza stabilirii acestora, precum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 de modul de utilizare a sumei alocate, potrivit prevederilor prezentei hotărâri, în conformitate cu dispozi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A7B67" w:rsidRPr="003A10A8">
        <w:rPr>
          <w:rFonts w:ascii="Times New Roman" w:hAnsi="Times New Roman" w:cs="Times New Roman"/>
          <w:sz w:val="24"/>
          <w:szCs w:val="24"/>
          <w:lang w:val="ro-RO"/>
        </w:rPr>
        <w:t>iile legale.</w:t>
      </w:r>
    </w:p>
    <w:p w:rsidR="005A7B67" w:rsidRPr="003A10A8" w:rsidRDefault="005A7B67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(2) Ministerul Economiei are obliga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ia înscrierii în inventarul centralizat al bunurilor din domeniul public al statului a imobilelor prevăzute la art. </w:t>
      </w:r>
      <w:r w:rsidR="00CF6983" w:rsidRPr="003A10A8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821A4" w:rsidRPr="003A10A8" w:rsidRDefault="00456CD2" w:rsidP="00EF1C6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CF6983" w:rsidRPr="003A10A8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</w:p>
    <w:p w:rsidR="009821A4" w:rsidRPr="003A10A8" w:rsidRDefault="005A7B67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Planul cu amplasamentul lucrării de utilitate publică de interes na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ional se aduce la cuno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tin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ă publică prin afi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are la sediile consiliilor locale implicate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i, respectiv, prin afi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are pe pagina proprie de internet a expropriatorului, potrivit legii.</w:t>
      </w:r>
    </w:p>
    <w:p w:rsidR="009821A4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</w:t>
      </w:r>
      <w:r w:rsidR="00CF6983" w:rsidRPr="003A10A8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C77FF" w:rsidRPr="003A10A8" w:rsidRDefault="00DC77FF" w:rsidP="00EF1C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Anexele 1 – 2 fac parte integrantă din prezenta hotărâre.</w:t>
      </w: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1A8C" w:rsidRPr="003A10A8" w:rsidRDefault="009D1A8C" w:rsidP="00EF1C6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>PRIM-MINISTRU</w:t>
      </w:r>
    </w:p>
    <w:p w:rsidR="009D1A8C" w:rsidRPr="003A10A8" w:rsidRDefault="009D1A8C" w:rsidP="00EF1C6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>VASILICA-VIORICA DĂNCILĂ</w:t>
      </w:r>
    </w:p>
    <w:p w:rsidR="00DC77FF" w:rsidRPr="003A10A8" w:rsidRDefault="00DC77FF" w:rsidP="00EF1C6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3A1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br w:type="page"/>
      </w:r>
      <w:r w:rsidRPr="003A1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lastRenderedPageBreak/>
        <w:t>Anexa nr. 1</w:t>
      </w:r>
    </w:p>
    <w:p w:rsidR="00DC77FF" w:rsidRPr="003A10A8" w:rsidRDefault="00DC77FF" w:rsidP="00F9778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Planul cu amplasamentul obiectivului de investi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F9778F" w:rsidRPr="00F9778F">
        <w:rPr>
          <w:rFonts w:ascii="Times New Roman" w:hAnsi="Times New Roman" w:cs="Times New Roman"/>
          <w:sz w:val="24"/>
          <w:szCs w:val="24"/>
          <w:lang w:val="ro-RO"/>
        </w:rPr>
        <w:t>''LEA 400kv Oradea -Beckescsaba .Montarea unei bobine de compensare 100 MVAr in statia 400kv Oradea Sud. Echipamente de telecomunicații si teletransmisii pentru LEA 400 kV Oradea- Beckescsaba''</w:t>
      </w: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C77FF" w:rsidRPr="003A10A8" w:rsidRDefault="00DC77FF" w:rsidP="00EF1C69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  <w:sectPr w:rsidR="00DC77FF" w:rsidRPr="003A10A8" w:rsidSect="0069506D">
          <w:footerReference w:type="default" r:id="rId7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DC77FF" w:rsidRPr="003A10A8" w:rsidRDefault="00DB5175" w:rsidP="00EF1C69">
      <w:pPr>
        <w:spacing w:before="120" w:after="12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Anexa nr. </w:t>
      </w:r>
      <w:r w:rsidR="008062A2" w:rsidRPr="003A1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A10A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DB5175" w:rsidRPr="003A10A8" w:rsidRDefault="00DB5175" w:rsidP="00EF1C69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L I S T A</w:t>
      </w:r>
    </w:p>
    <w:p w:rsidR="00DF1810" w:rsidRPr="003A10A8" w:rsidRDefault="00DC77FF" w:rsidP="00EF1C6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A10A8">
        <w:rPr>
          <w:rFonts w:ascii="Times New Roman" w:hAnsi="Times New Roman" w:cs="Times New Roman"/>
          <w:sz w:val="24"/>
          <w:szCs w:val="24"/>
          <w:lang w:val="ro-RO"/>
        </w:rPr>
        <w:t>cuprinzând imobilele proprietate privată care constituie coridorul de expropriere al obiectivului de investi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ii ”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LEA 400 kV Oradea-Bekescsaba. Montarea unei bobine de compensare 100 MV Ar în sta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ia 400 kV Oradea Sud. Echipamente de telecomunica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ii 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i teletransmisii pentru LEA 400 kV Oradea-Bekescsaba. Finalizarea tronsonului 1-42</w:t>
      </w:r>
      <w:r w:rsidR="00DE49B9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, inclusiv deviere re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DE49B9" w:rsidRPr="003A10A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ele electrice de 110 kV </w:t>
      </w:r>
      <w:r w:rsidR="006D0554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="00DE49B9" w:rsidRPr="003A10A8">
        <w:rPr>
          <w:rFonts w:ascii="Times New Roman" w:hAnsi="Times New Roman" w:cs="Times New Roman"/>
          <w:bCs/>
          <w:sz w:val="24"/>
          <w:szCs w:val="24"/>
          <w:lang w:val="ro-RO"/>
        </w:rPr>
        <w:t>i 20 KV</w:t>
      </w:r>
      <w:r w:rsidRPr="003A10A8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>, proprietarii sau de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inătorii acestora, precum </w:t>
      </w:r>
      <w:r w:rsidR="006D0554" w:rsidRPr="003A10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A10A8">
        <w:rPr>
          <w:rFonts w:ascii="Times New Roman" w:hAnsi="Times New Roman" w:cs="Times New Roman"/>
          <w:sz w:val="24"/>
          <w:szCs w:val="24"/>
          <w:lang w:val="ro-RO"/>
        </w:rPr>
        <w:t xml:space="preserve">i sumele individuale aferente despăgubirilor </w:t>
      </w:r>
    </w:p>
    <w:tbl>
      <w:tblPr>
        <w:tblStyle w:val="TableGrid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993"/>
        <w:gridCol w:w="1134"/>
        <w:gridCol w:w="2268"/>
        <w:gridCol w:w="1701"/>
        <w:gridCol w:w="1501"/>
        <w:gridCol w:w="1405"/>
        <w:gridCol w:w="1000"/>
        <w:gridCol w:w="1004"/>
        <w:gridCol w:w="1004"/>
        <w:gridCol w:w="2243"/>
      </w:tblGrid>
      <w:tr w:rsidR="00DE49B9" w:rsidRPr="003A10A8" w:rsidTr="00985487">
        <w:trPr>
          <w:jc w:val="center"/>
        </w:trPr>
        <w:tc>
          <w:tcPr>
            <w:tcW w:w="626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 t.</w:t>
            </w:r>
          </w:p>
        </w:tc>
        <w:tc>
          <w:tcPr>
            <w:tcW w:w="993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Jude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</w:p>
        </w:tc>
        <w:tc>
          <w:tcPr>
            <w:tcW w:w="1134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administ. - teritorială</w:t>
            </w:r>
          </w:p>
        </w:tc>
        <w:tc>
          <w:tcPr>
            <w:tcW w:w="2268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prenumele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proprietarului/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inătorului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terenului</w:t>
            </w:r>
          </w:p>
        </w:tc>
        <w:tc>
          <w:tcPr>
            <w:tcW w:w="1701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tipul stâlpului LEA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01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Carte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funciară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05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cadastral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topografic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Categorie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folosin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4" w:type="dxa"/>
            <w:vAlign w:val="center"/>
          </w:tcPr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totală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(mp)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985487">
            <w:pPr>
              <w:ind w:right="-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de expropriat</w:t>
            </w:r>
          </w:p>
          <w:p w:rsidR="00DE49B9" w:rsidRPr="003A10A8" w:rsidRDefault="00DE49B9" w:rsidP="00985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(mp)</w:t>
            </w:r>
          </w:p>
        </w:tc>
        <w:tc>
          <w:tcPr>
            <w:tcW w:w="2243" w:type="dxa"/>
            <w:vAlign w:val="center"/>
          </w:tcPr>
          <w:p w:rsidR="00DE49B9" w:rsidRPr="003A10A8" w:rsidRDefault="00DE49B9" w:rsidP="00985487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despăgubirii conform Legii nr. 255/2010 (lei)</w:t>
            </w:r>
          </w:p>
        </w:tc>
      </w:tr>
      <w:tr w:rsidR="00DE49B9" w:rsidRPr="003A10A8" w:rsidTr="00985487">
        <w:trPr>
          <w:jc w:val="center"/>
        </w:trPr>
        <w:tc>
          <w:tcPr>
            <w:tcW w:w="626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993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134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01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05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00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04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04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243" w:type="dxa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  <w:tr w:rsidR="00DE49B9" w:rsidRPr="003A10A8" w:rsidTr="00985487">
        <w:trPr>
          <w:jc w:val="center"/>
        </w:trPr>
        <w:tc>
          <w:tcPr>
            <w:tcW w:w="626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3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Bihor</w:t>
            </w:r>
          </w:p>
        </w:tc>
        <w:tc>
          <w:tcPr>
            <w:tcW w:w="113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Oradea</w:t>
            </w:r>
          </w:p>
        </w:tc>
        <w:tc>
          <w:tcPr>
            <w:tcW w:w="2268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 Lucia</w:t>
            </w:r>
          </w:p>
        </w:tc>
        <w:tc>
          <w:tcPr>
            <w:tcW w:w="1701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ICn 400280</w:t>
            </w:r>
          </w:p>
        </w:tc>
        <w:tc>
          <w:tcPr>
            <w:tcW w:w="1501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168303 Oradea</w:t>
            </w:r>
          </w:p>
        </w:tc>
        <w:tc>
          <w:tcPr>
            <w:tcW w:w="1405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Cad. 6575</w:t>
            </w:r>
          </w:p>
        </w:tc>
        <w:tc>
          <w:tcPr>
            <w:tcW w:w="1000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intravilan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1.942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182</w:t>
            </w:r>
          </w:p>
        </w:tc>
        <w:tc>
          <w:tcPr>
            <w:tcW w:w="2243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17.017</w:t>
            </w:r>
          </w:p>
        </w:tc>
      </w:tr>
      <w:tr w:rsidR="00DE49B9" w:rsidRPr="003A10A8" w:rsidTr="00985487">
        <w:trPr>
          <w:trHeight w:val="1060"/>
          <w:jc w:val="center"/>
        </w:trPr>
        <w:tc>
          <w:tcPr>
            <w:tcW w:w="626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93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Bihor</w:t>
            </w:r>
          </w:p>
        </w:tc>
        <w:tc>
          <w:tcPr>
            <w:tcW w:w="113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Sânmartin</w:t>
            </w:r>
          </w:p>
        </w:tc>
        <w:tc>
          <w:tcPr>
            <w:tcW w:w="2268" w:type="dxa"/>
          </w:tcPr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Ilea Silvia</w:t>
            </w:r>
          </w:p>
          <w:p w:rsidR="00DE49B9" w:rsidRPr="003A10A8" w:rsidRDefault="006D0554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DE49B9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ibuleac Maria</w:t>
            </w:r>
          </w:p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Luncan Alexandru</w:t>
            </w:r>
          </w:p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Cozac Mariana</w:t>
            </w:r>
          </w:p>
          <w:p w:rsidR="00DE49B9" w:rsidRPr="003A10A8" w:rsidRDefault="006D0554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DE49B9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andor Maria</w:t>
            </w:r>
          </w:p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Onea Dorin Dumitru</w:t>
            </w:r>
          </w:p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Luncan Avram</w:t>
            </w:r>
          </w:p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(în func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 de cotele de proprietate)</w:t>
            </w:r>
          </w:p>
        </w:tc>
        <w:tc>
          <w:tcPr>
            <w:tcW w:w="1701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ICn 400280</w:t>
            </w:r>
          </w:p>
        </w:tc>
        <w:tc>
          <w:tcPr>
            <w:tcW w:w="1501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62134 Sânmartin</w:t>
            </w:r>
          </w:p>
        </w:tc>
        <w:tc>
          <w:tcPr>
            <w:tcW w:w="1405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Top. 713</w:t>
            </w:r>
          </w:p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Cad. 4432</w:t>
            </w:r>
          </w:p>
        </w:tc>
        <w:tc>
          <w:tcPr>
            <w:tcW w:w="1000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fânea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6.910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</w:t>
            </w:r>
          </w:p>
        </w:tc>
        <w:tc>
          <w:tcPr>
            <w:tcW w:w="2243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6.871</w:t>
            </w:r>
          </w:p>
        </w:tc>
      </w:tr>
      <w:tr w:rsidR="00DE49B9" w:rsidRPr="003A10A8" w:rsidTr="00985487">
        <w:trPr>
          <w:jc w:val="center"/>
        </w:trPr>
        <w:tc>
          <w:tcPr>
            <w:tcW w:w="626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93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Bihor</w:t>
            </w:r>
          </w:p>
        </w:tc>
        <w:tc>
          <w:tcPr>
            <w:tcW w:w="113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Oradea</w:t>
            </w:r>
          </w:p>
        </w:tc>
        <w:tc>
          <w:tcPr>
            <w:tcW w:w="2268" w:type="dxa"/>
            <w:vAlign w:val="center"/>
          </w:tcPr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 Traian</w:t>
            </w:r>
          </w:p>
          <w:p w:rsidR="00DE49B9" w:rsidRPr="003A10A8" w:rsidRDefault="00DE49B9" w:rsidP="008D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</w:t>
            </w:r>
            <w:r w:rsidR="006D0554"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 Lavinia-Noemia</w:t>
            </w:r>
          </w:p>
        </w:tc>
        <w:tc>
          <w:tcPr>
            <w:tcW w:w="1701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SnR 400150</w:t>
            </w:r>
          </w:p>
        </w:tc>
        <w:tc>
          <w:tcPr>
            <w:tcW w:w="1501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188004</w:t>
            </w:r>
          </w:p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405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Cad. 8630/19</w:t>
            </w:r>
          </w:p>
        </w:tc>
        <w:tc>
          <w:tcPr>
            <w:tcW w:w="1000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arabil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636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2243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1.020</w:t>
            </w:r>
          </w:p>
        </w:tc>
      </w:tr>
      <w:tr w:rsidR="00DE49B9" w:rsidRPr="003A10A8" w:rsidTr="00985487">
        <w:trPr>
          <w:jc w:val="center"/>
        </w:trPr>
        <w:tc>
          <w:tcPr>
            <w:tcW w:w="11632" w:type="dxa"/>
            <w:gridSpan w:val="9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04" w:type="dxa"/>
            <w:vAlign w:val="center"/>
          </w:tcPr>
          <w:p w:rsidR="00DE49B9" w:rsidRPr="003A10A8" w:rsidRDefault="00DE49B9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fldChar w:fldCharType="begin"/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instrText xml:space="preserve"> =J3+J4+J5 </w:instrTex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fldChar w:fldCharType="separate"/>
            </w:r>
            <w:r w:rsidRPr="003A10A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393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fldChar w:fldCharType="end"/>
            </w:r>
          </w:p>
        </w:tc>
        <w:tc>
          <w:tcPr>
            <w:tcW w:w="2243" w:type="dxa"/>
            <w:vAlign w:val="center"/>
          </w:tcPr>
          <w:p w:rsidR="00DE49B9" w:rsidRPr="003A10A8" w:rsidRDefault="0072402A" w:rsidP="00EF1C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fldChar w:fldCharType="begin"/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instrText xml:space="preserve"> =k3+k4+k5 </w:instrTex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fldChar w:fldCharType="separate"/>
            </w:r>
            <w:r w:rsidRPr="003A10A8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24.908</w:t>
            </w:r>
            <w:r w:rsidRPr="003A10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fldChar w:fldCharType="end"/>
            </w:r>
          </w:p>
        </w:tc>
      </w:tr>
    </w:tbl>
    <w:p w:rsidR="00DB5175" w:rsidRPr="003A10A8" w:rsidRDefault="00DB5175" w:rsidP="0098548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B5175" w:rsidRPr="003A10A8" w:rsidSect="00DB5175">
      <w:pgSz w:w="16838" w:h="11906" w:orient="landscape"/>
      <w:pgMar w:top="426" w:right="1440" w:bottom="284" w:left="1440" w:header="708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83" w:rsidRDefault="00E12E83" w:rsidP="00DB5175">
      <w:pPr>
        <w:spacing w:after="0" w:line="240" w:lineRule="auto"/>
      </w:pPr>
      <w:r>
        <w:separator/>
      </w:r>
    </w:p>
  </w:endnote>
  <w:endnote w:type="continuationSeparator" w:id="0">
    <w:p w:rsidR="00E12E83" w:rsidRDefault="00E12E83" w:rsidP="00DB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420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7FF" w:rsidRDefault="00DC7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7FF" w:rsidRDefault="00DC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83" w:rsidRDefault="00E12E83" w:rsidP="00DB5175">
      <w:pPr>
        <w:spacing w:after="0" w:line="240" w:lineRule="auto"/>
      </w:pPr>
      <w:r>
        <w:separator/>
      </w:r>
    </w:p>
  </w:footnote>
  <w:footnote w:type="continuationSeparator" w:id="0">
    <w:p w:rsidR="00E12E83" w:rsidRDefault="00E12E83" w:rsidP="00DB5175">
      <w:pPr>
        <w:spacing w:after="0" w:line="240" w:lineRule="auto"/>
      </w:pPr>
      <w:r>
        <w:continuationSeparator/>
      </w:r>
    </w:p>
  </w:footnote>
  <w:footnote w:id="1">
    <w:p w:rsidR="00C739AE" w:rsidRPr="006E2BE3" w:rsidRDefault="00C739AE" w:rsidP="00C739AE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6E2BE3">
        <w:rPr>
          <w:rStyle w:val="FootnoteReference"/>
          <w:rFonts w:ascii="Times New Roman" w:hAnsi="Times New Roman" w:cs="Times New Roman"/>
          <w:lang w:val="ro-RO"/>
        </w:rPr>
        <w:footnoteRef/>
      </w:r>
      <w:r w:rsidRPr="006E2BE3">
        <w:rPr>
          <w:rFonts w:ascii="Times New Roman" w:hAnsi="Times New Roman" w:cs="Times New Roman"/>
          <w:lang w:val="ro-RO"/>
        </w:rPr>
        <w:t xml:space="preserve"> Anexa nr. 1 se comunică persoanelor fizice și juridice interesate, la solicitarea acestora, de către Compania Națională de Transport al Energiei Electrice "Transelectrica" - S.A., care este depozitarul acesteia, imposibilitatea publicării în Monitorul Oficial al României, Partea I, a hărții topografice fiind determinată de impedimente de natură tehnico-redacțională.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FF"/>
    <w:rsid w:val="0006752E"/>
    <w:rsid w:val="001261F5"/>
    <w:rsid w:val="001302C5"/>
    <w:rsid w:val="00173772"/>
    <w:rsid w:val="00192FE6"/>
    <w:rsid w:val="001B647F"/>
    <w:rsid w:val="00250518"/>
    <w:rsid w:val="00341F94"/>
    <w:rsid w:val="003A10A8"/>
    <w:rsid w:val="003D620A"/>
    <w:rsid w:val="00456CD2"/>
    <w:rsid w:val="004958F5"/>
    <w:rsid w:val="004C56E4"/>
    <w:rsid w:val="004F5139"/>
    <w:rsid w:val="00513994"/>
    <w:rsid w:val="00593CD2"/>
    <w:rsid w:val="005A7B67"/>
    <w:rsid w:val="00611505"/>
    <w:rsid w:val="0069506D"/>
    <w:rsid w:val="006D0554"/>
    <w:rsid w:val="006E2BE3"/>
    <w:rsid w:val="006F7590"/>
    <w:rsid w:val="0072402A"/>
    <w:rsid w:val="007E1D91"/>
    <w:rsid w:val="008062A2"/>
    <w:rsid w:val="008D67CA"/>
    <w:rsid w:val="008F481C"/>
    <w:rsid w:val="009510D1"/>
    <w:rsid w:val="009821A4"/>
    <w:rsid w:val="00985487"/>
    <w:rsid w:val="009D1A8C"/>
    <w:rsid w:val="00AE00B0"/>
    <w:rsid w:val="00C67358"/>
    <w:rsid w:val="00C739AE"/>
    <w:rsid w:val="00C77D75"/>
    <w:rsid w:val="00CE294A"/>
    <w:rsid w:val="00CF6983"/>
    <w:rsid w:val="00D26F8E"/>
    <w:rsid w:val="00DB5175"/>
    <w:rsid w:val="00DC77FF"/>
    <w:rsid w:val="00DE02A5"/>
    <w:rsid w:val="00DE49B9"/>
    <w:rsid w:val="00DF1810"/>
    <w:rsid w:val="00E12E83"/>
    <w:rsid w:val="00EF1C69"/>
    <w:rsid w:val="00F122FC"/>
    <w:rsid w:val="00F1469A"/>
    <w:rsid w:val="00F57DC1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F657F-7213-470B-8ADC-900B3543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FF"/>
  </w:style>
  <w:style w:type="table" w:styleId="TableGrid">
    <w:name w:val="Table Grid"/>
    <w:basedOn w:val="TableNormal"/>
    <w:uiPriority w:val="59"/>
    <w:rsid w:val="00D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75"/>
  </w:style>
  <w:style w:type="character" w:styleId="Hyperlink">
    <w:name w:val="Hyperlink"/>
    <w:basedOn w:val="DefaultParagraphFont"/>
    <w:uiPriority w:val="99"/>
    <w:semiHidden/>
    <w:unhideWhenUsed/>
    <w:rsid w:val="005A7B67"/>
    <w:rPr>
      <w:color w:val="0000FF"/>
      <w:u w:val="single"/>
    </w:rPr>
  </w:style>
  <w:style w:type="character" w:customStyle="1" w:styleId="l5def2">
    <w:name w:val="l5def2"/>
    <w:basedOn w:val="DefaultParagraphFont"/>
    <w:rsid w:val="0069506D"/>
    <w:rPr>
      <w:rFonts w:ascii="Arial" w:hAnsi="Arial" w:cs="Arial" w:hint="default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0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E5E7-2335-48B1-832D-8C137837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Bondor</dc:creator>
  <cp:lastModifiedBy>Aurelian Gavrilescu</cp:lastModifiedBy>
  <cp:revision>2</cp:revision>
  <cp:lastPrinted>2018-03-13T11:20:00Z</cp:lastPrinted>
  <dcterms:created xsi:type="dcterms:W3CDTF">2018-03-19T16:00:00Z</dcterms:created>
  <dcterms:modified xsi:type="dcterms:W3CDTF">2018-03-19T16:00:00Z</dcterms:modified>
</cp:coreProperties>
</file>