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2251C" w14:textId="77777777" w:rsidR="00C37A97" w:rsidRPr="00C37A97" w:rsidRDefault="00C37A97" w:rsidP="00C37A97">
      <w:pPr>
        <w:shd w:val="clear" w:color="auto" w:fill="FFFFFF"/>
        <w:spacing w:after="150" w:line="240" w:lineRule="auto"/>
        <w:jc w:val="both"/>
        <w:rPr>
          <w:rFonts w:ascii="Verdana" w:eastAsia="Times New Roman" w:hAnsi="Verdana" w:cs="Times New Roman"/>
          <w:b/>
          <w:bCs/>
          <w:color w:val="666666"/>
          <w:sz w:val="18"/>
          <w:szCs w:val="18"/>
          <w:lang w:val="en-US"/>
        </w:rPr>
      </w:pPr>
      <w:r w:rsidRPr="00C37A97">
        <w:rPr>
          <w:rFonts w:ascii="Verdana" w:eastAsia="Times New Roman" w:hAnsi="Verdana" w:cs="Times New Roman"/>
          <w:b/>
          <w:bCs/>
          <w:color w:val="666666"/>
          <w:sz w:val="18"/>
          <w:szCs w:val="18"/>
          <w:lang w:val="en-US"/>
        </w:rPr>
        <w:t>omisia Europeană a publicat, în 22 noiembrie, o comunicare privind modul în care Planul de investiții pentru Europa – Planul Juncker – a contribuit la readucerea investițiilor la un nivel sustenabil în Europa. Până în prezent au fost mobilizate investiții în valoare de 360 de miliarde euro, dintre care două treimi provin din resurse private.</w:t>
      </w:r>
    </w:p>
    <w:p w14:paraId="6AC674C4" w14:textId="77777777" w:rsidR="00C37A97" w:rsidRPr="00C37A97" w:rsidRDefault="00C37A97" w:rsidP="00C37A97">
      <w:pPr>
        <w:shd w:val="clear" w:color="auto" w:fill="FFFFFF"/>
        <w:spacing w:after="0" w:line="240" w:lineRule="auto"/>
        <w:rPr>
          <w:rFonts w:ascii="Verdana" w:eastAsia="Times New Roman" w:hAnsi="Verdana" w:cs="Times New Roman"/>
          <w:color w:val="666666"/>
          <w:sz w:val="19"/>
          <w:szCs w:val="19"/>
          <w:lang w:val="en-US"/>
        </w:rPr>
      </w:pPr>
      <w:r w:rsidRPr="00C37A97">
        <w:rPr>
          <w:rFonts w:ascii="Verdana" w:eastAsia="Times New Roman" w:hAnsi="Verdana" w:cs="Times New Roman"/>
          <w:color w:val="666666"/>
          <w:sz w:val="19"/>
          <w:szCs w:val="19"/>
          <w:lang w:val="en-US"/>
        </w:rPr>
        <w:t>22/11/2018</w:t>
      </w:r>
    </w:p>
    <w:p w14:paraId="5A7A7BFC" w14:textId="77777777" w:rsidR="00C37A97" w:rsidRPr="00C37A97" w:rsidRDefault="00C37A97" w:rsidP="00C37A97">
      <w:pPr>
        <w:shd w:val="clear" w:color="auto" w:fill="FFFFFF"/>
        <w:spacing w:after="150" w:line="240" w:lineRule="auto"/>
        <w:jc w:val="both"/>
        <w:rPr>
          <w:rFonts w:ascii="Verdana" w:eastAsia="Times New Roman" w:hAnsi="Verdana" w:cs="Times New Roman"/>
          <w:color w:val="000000"/>
          <w:sz w:val="19"/>
          <w:szCs w:val="19"/>
          <w:lang w:val="en-US"/>
        </w:rPr>
      </w:pPr>
      <w:r w:rsidRPr="00C37A97">
        <w:rPr>
          <w:rFonts w:ascii="Verdana" w:eastAsia="Times New Roman" w:hAnsi="Verdana" w:cs="Times New Roman"/>
          <w:color w:val="000000"/>
          <w:sz w:val="19"/>
          <w:szCs w:val="19"/>
          <w:lang w:val="en-US"/>
        </w:rPr>
        <w:t>Vicepreședintele Comisiei responsabil pentru locuri de muncă, creștere, investiții și competitivitate, Jyrki </w:t>
      </w:r>
      <w:r w:rsidRPr="00C37A97">
        <w:rPr>
          <w:rFonts w:ascii="Verdana" w:eastAsia="Times New Roman" w:hAnsi="Verdana" w:cs="Times New Roman"/>
          <w:b/>
          <w:bCs/>
          <w:color w:val="333333"/>
          <w:sz w:val="19"/>
          <w:szCs w:val="19"/>
          <w:lang w:val="en-US"/>
        </w:rPr>
        <w:t>Katainen</w:t>
      </w:r>
      <w:r w:rsidRPr="00C37A97">
        <w:rPr>
          <w:rFonts w:ascii="Verdana" w:eastAsia="Times New Roman" w:hAnsi="Verdana" w:cs="Times New Roman"/>
          <w:color w:val="000000"/>
          <w:sz w:val="19"/>
          <w:szCs w:val="19"/>
          <w:lang w:val="en-US"/>
        </w:rPr>
        <w:t>, a declarat: </w:t>
      </w:r>
      <w:r w:rsidRPr="00C37A97">
        <w:rPr>
          <w:rFonts w:ascii="Verdana" w:eastAsia="Times New Roman" w:hAnsi="Verdana" w:cs="Times New Roman"/>
          <w:i/>
          <w:iCs/>
          <w:color w:val="000000"/>
          <w:sz w:val="19"/>
          <w:szCs w:val="19"/>
          <w:lang w:val="en-US"/>
        </w:rPr>
        <w:t>„Planul de investiții a schimbat regulile jocului. După patru ani, această abordare nouă și unică privind mobilizarea investițiilor private spre binele public a generat o finanțare proaspătă în valoare de 360 de miliarde EUR pentru economie. De asemenea, am ajutat la demararea unor proiecte inovatoare și am îmbunătățit mediul de investiții din Europa. În următorul buget pe termen lung al UE, dorim să menținem această dinamică favorabilă și să ne asigurăm că modelul de succes al Planului de investiții va deveni noul standard european pentru sprijinul în favoarea investițiilor.”</w:t>
      </w:r>
    </w:p>
    <w:p w14:paraId="27F36B42" w14:textId="77777777" w:rsidR="00C37A97" w:rsidRPr="00C37A97" w:rsidRDefault="00C37A97" w:rsidP="00C37A97">
      <w:pPr>
        <w:shd w:val="clear" w:color="auto" w:fill="FFFFFF"/>
        <w:spacing w:after="150" w:line="240" w:lineRule="auto"/>
        <w:jc w:val="both"/>
        <w:rPr>
          <w:rFonts w:ascii="Verdana" w:eastAsia="Times New Roman" w:hAnsi="Verdana" w:cs="Times New Roman"/>
          <w:color w:val="000000"/>
          <w:sz w:val="19"/>
          <w:szCs w:val="19"/>
          <w:lang w:val="en-US"/>
        </w:rPr>
      </w:pPr>
      <w:r w:rsidRPr="00C37A97">
        <w:rPr>
          <w:rFonts w:ascii="Verdana" w:eastAsia="Times New Roman" w:hAnsi="Verdana" w:cs="Times New Roman"/>
          <w:color w:val="000000"/>
          <w:sz w:val="19"/>
          <w:szCs w:val="19"/>
          <w:lang w:val="en-US"/>
        </w:rPr>
        <w:t>Planul de investiții a depășit obiectivul și așteptările sale inițiale. Datorită sprijinului acordat prin Fondul european pentru investiții strategice (FEIS), se preconizează că 850.000 de întreprinderi mici și mijlocii vor beneficia de ameliorarea accesului la finanțare. Estimările arată că FEIS a sprijinit deja peste 750.000 de locuri de muncă, fiind preconizată crearea a 1,4 milioane de locuri de muncă până în 2020, ceea ce va avea un impact pozitiv asupra a milioane de gospodării europene. De asemenea, sute de promotori de proiecte au beneficiat de sprijin individualizat grație a două inovări importante în acest context, și anume </w:t>
      </w:r>
      <w:hyperlink r:id="rId5" w:history="1">
        <w:r w:rsidRPr="00C37A97">
          <w:rPr>
            <w:rFonts w:ascii="Verdana" w:eastAsia="Times New Roman" w:hAnsi="Verdana" w:cs="Times New Roman"/>
            <w:color w:val="0065A2"/>
            <w:sz w:val="19"/>
            <w:szCs w:val="19"/>
            <w:u w:val="single"/>
            <w:lang w:val="en-US"/>
          </w:rPr>
          <w:t>Platforma europeană de consiliere în materie de investiții</w:t>
        </w:r>
        <w:r w:rsidRPr="00C37A97">
          <w:rPr>
            <w:rFonts w:ascii="Verdana" w:eastAsia="Times New Roman" w:hAnsi="Verdana" w:cs="Times New Roman"/>
            <w:color w:val="0065A2"/>
            <w:sz w:val="19"/>
            <w:szCs w:val="19"/>
            <w:lang w:val="en-US"/>
          </w:rPr>
          <w:t>(link is external)</w:t>
        </w:r>
      </w:hyperlink>
      <w:r w:rsidRPr="00C37A97">
        <w:rPr>
          <w:rFonts w:ascii="Verdana" w:eastAsia="Times New Roman" w:hAnsi="Verdana" w:cs="Times New Roman"/>
          <w:color w:val="000000"/>
          <w:sz w:val="19"/>
          <w:szCs w:val="19"/>
          <w:lang w:val="en-US"/>
        </w:rPr>
        <w:t>, care a tratat deja 860 de cereri, și </w:t>
      </w:r>
      <w:hyperlink r:id="rId6" w:history="1">
        <w:r w:rsidRPr="00C37A97">
          <w:rPr>
            <w:rFonts w:ascii="Verdana" w:eastAsia="Times New Roman" w:hAnsi="Verdana" w:cs="Times New Roman"/>
            <w:color w:val="0065A2"/>
            <w:sz w:val="19"/>
            <w:szCs w:val="19"/>
            <w:u w:val="single"/>
            <w:lang w:val="en-US"/>
          </w:rPr>
          <w:t>Portalul european pentru proiecte de investiții</w:t>
        </w:r>
      </w:hyperlink>
      <w:r w:rsidRPr="00C37A97">
        <w:rPr>
          <w:rFonts w:ascii="Verdana" w:eastAsia="Times New Roman" w:hAnsi="Verdana" w:cs="Times New Roman"/>
          <w:color w:val="000000"/>
          <w:sz w:val="19"/>
          <w:szCs w:val="19"/>
          <w:lang w:val="en-US"/>
        </w:rPr>
        <w:t>, care propune potențialilor investitori un catalog ușor accesibil de proiecte mature.</w:t>
      </w:r>
    </w:p>
    <w:p w14:paraId="40668E5B" w14:textId="77777777" w:rsidR="00C37A97" w:rsidRPr="00C37A97" w:rsidRDefault="00C37A97" w:rsidP="00C37A97">
      <w:pPr>
        <w:shd w:val="clear" w:color="auto" w:fill="FFFFFF"/>
        <w:spacing w:after="150" w:line="240" w:lineRule="auto"/>
        <w:jc w:val="both"/>
        <w:rPr>
          <w:rFonts w:ascii="Verdana" w:eastAsia="Times New Roman" w:hAnsi="Verdana" w:cs="Times New Roman"/>
          <w:color w:val="000000"/>
          <w:sz w:val="19"/>
          <w:szCs w:val="19"/>
          <w:lang w:val="en-US"/>
        </w:rPr>
      </w:pPr>
      <w:r w:rsidRPr="00C37A97">
        <w:rPr>
          <w:rFonts w:ascii="Verdana" w:eastAsia="Times New Roman" w:hAnsi="Verdana" w:cs="Times New Roman"/>
          <w:color w:val="000000"/>
          <w:sz w:val="19"/>
          <w:szCs w:val="19"/>
          <w:lang w:val="en-US"/>
        </w:rPr>
        <w:t>Planul Juncker a condus deja la creșterea PIB-ului UE cu 0,6%, această cifră fiind preconizată să atingă 1,3% până în 2020. </w:t>
      </w:r>
      <w:hyperlink r:id="rId7" w:history="1">
        <w:r w:rsidRPr="00C37A97">
          <w:rPr>
            <w:rFonts w:ascii="Verdana" w:eastAsia="Times New Roman" w:hAnsi="Verdana" w:cs="Times New Roman"/>
            <w:color w:val="0065A2"/>
            <w:sz w:val="19"/>
            <w:szCs w:val="19"/>
            <w:u w:val="single"/>
            <w:lang w:val="en-US"/>
          </w:rPr>
          <w:t>Toate statele membre au beneficiat de evoluția pozitivă</w:t>
        </w:r>
      </w:hyperlink>
      <w:hyperlink r:id="rId8" w:history="1">
        <w:r w:rsidRPr="00C37A97">
          <w:rPr>
            <w:rFonts w:ascii="Verdana" w:eastAsia="Times New Roman" w:hAnsi="Verdana" w:cs="Times New Roman"/>
            <w:color w:val="999999"/>
            <w:sz w:val="11"/>
            <w:szCs w:val="11"/>
            <w:u w:val="single"/>
            <w:bdr w:val="single" w:sz="6" w:space="2" w:color="AAAAAA" w:frame="1"/>
            <w:shd w:val="clear" w:color="auto" w:fill="FFFFFF"/>
            <w:lang w:val="en-US"/>
          </w:rPr>
          <w:t>Căutați traducerile disponibile pentru linkul precedent</w:t>
        </w:r>
        <w:r w:rsidRPr="00C37A97">
          <w:rPr>
            <w:rFonts w:ascii="Verdana" w:eastAsia="Times New Roman" w:hAnsi="Verdana" w:cs="Times New Roman"/>
            <w:color w:val="AAAAAA"/>
            <w:sz w:val="11"/>
            <w:szCs w:val="11"/>
            <w:u w:val="single"/>
            <w:bdr w:val="single" w:sz="6" w:space="2" w:color="AAAAAA" w:frame="1"/>
            <w:shd w:val="clear" w:color="auto" w:fill="FFFFFF"/>
            <w:lang w:val="en-US"/>
          </w:rPr>
          <w:t>EN</w:t>
        </w:r>
        <w:r w:rsidRPr="00C37A97">
          <w:rPr>
            <w:rFonts w:ascii="Verdana" w:eastAsia="Times New Roman" w:hAnsi="Verdana" w:cs="Times New Roman"/>
            <w:b/>
            <w:bCs/>
            <w:color w:val="CCCCCC"/>
            <w:sz w:val="11"/>
            <w:szCs w:val="11"/>
            <w:u w:val="single"/>
            <w:bdr w:val="single" w:sz="6" w:space="2" w:color="AAAAAA" w:frame="1"/>
            <w:shd w:val="clear" w:color="auto" w:fill="FFFFFF"/>
            <w:lang w:val="en-US"/>
          </w:rPr>
          <w:t>•••</w:t>
        </w:r>
      </w:hyperlink>
      <w:r w:rsidRPr="00C37A97">
        <w:rPr>
          <w:rFonts w:ascii="Verdana" w:eastAsia="Times New Roman" w:hAnsi="Verdana" w:cs="Times New Roman"/>
          <w:color w:val="000000"/>
          <w:sz w:val="19"/>
          <w:szCs w:val="19"/>
          <w:lang w:val="en-US"/>
        </w:rPr>
        <w:t>, mai ales cele care au fost afectate cel mai grav de criza economică. </w:t>
      </w:r>
    </w:p>
    <w:p w14:paraId="3970088F" w14:textId="77777777" w:rsidR="00C37A97" w:rsidRPr="00C37A97" w:rsidRDefault="00C37A97" w:rsidP="00C37A97">
      <w:pPr>
        <w:shd w:val="clear" w:color="auto" w:fill="FFFFFF"/>
        <w:spacing w:after="150" w:line="240" w:lineRule="auto"/>
        <w:jc w:val="both"/>
        <w:rPr>
          <w:rFonts w:ascii="Verdana" w:eastAsia="Times New Roman" w:hAnsi="Verdana" w:cs="Times New Roman"/>
          <w:color w:val="000000"/>
          <w:sz w:val="19"/>
          <w:szCs w:val="19"/>
          <w:lang w:val="en-US"/>
        </w:rPr>
      </w:pPr>
      <w:r w:rsidRPr="00C37A97">
        <w:rPr>
          <w:rFonts w:ascii="Verdana" w:eastAsia="Times New Roman" w:hAnsi="Verdana" w:cs="Times New Roman"/>
          <w:color w:val="000000"/>
          <w:sz w:val="19"/>
          <w:szCs w:val="19"/>
          <w:lang w:val="en-US"/>
        </w:rPr>
        <w:t>Proiectele din </w:t>
      </w:r>
      <w:r w:rsidRPr="00C37A97">
        <w:rPr>
          <w:rFonts w:ascii="Verdana" w:eastAsia="Times New Roman" w:hAnsi="Verdana" w:cs="Times New Roman"/>
          <w:b/>
          <w:bCs/>
          <w:color w:val="333333"/>
          <w:sz w:val="19"/>
          <w:szCs w:val="19"/>
          <w:lang w:val="en-US"/>
        </w:rPr>
        <w:t>România</w:t>
      </w:r>
      <w:r w:rsidRPr="00C37A97">
        <w:rPr>
          <w:rFonts w:ascii="Verdana" w:eastAsia="Times New Roman" w:hAnsi="Verdana" w:cs="Times New Roman"/>
          <w:color w:val="000000"/>
          <w:sz w:val="19"/>
          <w:szCs w:val="19"/>
          <w:lang w:val="en-US"/>
        </w:rPr>
        <w:t> au obținut finanțări în valoare totală de 502 milioane euro din Fondul european pentru investiții strategice (FEIS). Aceste sume ar urma să atragă investiții suplimentare de 2.3 miliarde euro.</w:t>
      </w:r>
    </w:p>
    <w:p w14:paraId="1A052513" w14:textId="77777777" w:rsidR="00C37A97" w:rsidRPr="00C37A97" w:rsidRDefault="00C37A97" w:rsidP="00C37A97">
      <w:pPr>
        <w:shd w:val="clear" w:color="auto" w:fill="FFFFFF"/>
        <w:spacing w:after="150" w:line="240" w:lineRule="auto"/>
        <w:jc w:val="both"/>
        <w:rPr>
          <w:rFonts w:ascii="Verdana" w:eastAsia="Times New Roman" w:hAnsi="Verdana" w:cs="Times New Roman"/>
          <w:color w:val="000000"/>
          <w:sz w:val="19"/>
          <w:szCs w:val="19"/>
          <w:lang w:val="en-US"/>
        </w:rPr>
      </w:pPr>
      <w:r w:rsidRPr="00C37A97">
        <w:rPr>
          <w:rFonts w:ascii="Verdana" w:eastAsia="Times New Roman" w:hAnsi="Verdana" w:cs="Times New Roman"/>
          <w:color w:val="000000"/>
          <w:sz w:val="19"/>
          <w:szCs w:val="19"/>
          <w:lang w:val="en-US"/>
        </w:rPr>
        <w:t>În clasamentul statelor membre după rata fondurilor mobilizate raportat la PIB, </w:t>
      </w:r>
      <w:r w:rsidRPr="00C37A97">
        <w:rPr>
          <w:rFonts w:ascii="Verdana" w:eastAsia="Times New Roman" w:hAnsi="Verdana" w:cs="Times New Roman"/>
          <w:b/>
          <w:bCs/>
          <w:color w:val="333333"/>
          <w:sz w:val="19"/>
          <w:szCs w:val="19"/>
          <w:lang w:val="en-US"/>
        </w:rPr>
        <w:t>România</w:t>
      </w:r>
      <w:r w:rsidRPr="00C37A97">
        <w:rPr>
          <w:rFonts w:ascii="Verdana" w:eastAsia="Times New Roman" w:hAnsi="Verdana" w:cs="Times New Roman"/>
          <w:color w:val="000000"/>
          <w:sz w:val="19"/>
          <w:szCs w:val="19"/>
          <w:lang w:val="en-US"/>
        </w:rPr>
        <w:t> a cunoscut o ușoară ascensiune, însă continuă să rămână în a doua jumătate, respectiv pe locul 20. În schimb, Bulgaria rămâne între primele 10 state membre.</w:t>
      </w:r>
    </w:p>
    <w:p w14:paraId="526C1C8C" w14:textId="77777777" w:rsidR="00C37A97" w:rsidRPr="00C37A97" w:rsidRDefault="00C37A97" w:rsidP="00C37A97">
      <w:pPr>
        <w:shd w:val="clear" w:color="auto" w:fill="FFFFFF"/>
        <w:spacing w:after="150" w:line="240" w:lineRule="auto"/>
        <w:jc w:val="both"/>
        <w:rPr>
          <w:rFonts w:ascii="Verdana" w:eastAsia="Times New Roman" w:hAnsi="Verdana" w:cs="Times New Roman"/>
          <w:color w:val="000000"/>
          <w:sz w:val="19"/>
          <w:szCs w:val="19"/>
          <w:lang w:val="en-US"/>
        </w:rPr>
      </w:pPr>
      <w:r w:rsidRPr="00C37A97">
        <w:rPr>
          <w:rFonts w:ascii="Verdana" w:eastAsia="Times New Roman" w:hAnsi="Verdana" w:cs="Times New Roman"/>
          <w:color w:val="000000"/>
          <w:sz w:val="19"/>
          <w:szCs w:val="19"/>
          <w:lang w:val="en-US"/>
        </w:rPr>
        <w:t>Astăzi, modelul de succes al FEIS la nivel european devine noul criteriu de referință pentru investițiile sprijinite de UE, atât în interiorul, cât și în afara UE, și anume pentru noul fond </w:t>
      </w:r>
      <w:hyperlink r:id="rId9" w:history="1">
        <w:r w:rsidRPr="00C37A97">
          <w:rPr>
            <w:rFonts w:ascii="Verdana" w:eastAsia="Times New Roman" w:hAnsi="Verdana" w:cs="Times New Roman"/>
            <w:color w:val="0065A2"/>
            <w:sz w:val="19"/>
            <w:szCs w:val="19"/>
            <w:u w:val="single"/>
            <w:lang w:val="en-US"/>
          </w:rPr>
          <w:t>InvestEU</w:t>
        </w:r>
      </w:hyperlink>
      <w:r w:rsidRPr="00C37A97">
        <w:rPr>
          <w:rFonts w:ascii="Verdana" w:eastAsia="Times New Roman" w:hAnsi="Verdana" w:cs="Times New Roman"/>
          <w:color w:val="000000"/>
          <w:sz w:val="19"/>
          <w:szCs w:val="19"/>
          <w:lang w:val="en-US"/>
        </w:rPr>
        <w:t> și pentru </w:t>
      </w:r>
      <w:hyperlink r:id="rId10" w:history="1">
        <w:r w:rsidRPr="00C37A97">
          <w:rPr>
            <w:rFonts w:ascii="Verdana" w:eastAsia="Times New Roman" w:hAnsi="Verdana" w:cs="Times New Roman"/>
            <w:color w:val="0065A2"/>
            <w:sz w:val="19"/>
            <w:szCs w:val="19"/>
            <w:u w:val="single"/>
            <w:lang w:val="en-US"/>
          </w:rPr>
          <w:t>Instrumentul de vecinătate, cooperare pentru dezvoltare și cooperare internațională</w:t>
        </w:r>
      </w:hyperlink>
      <w:r w:rsidRPr="00C37A97">
        <w:rPr>
          <w:rFonts w:ascii="Verdana" w:eastAsia="Times New Roman" w:hAnsi="Verdana" w:cs="Times New Roman"/>
          <w:color w:val="000000"/>
          <w:sz w:val="19"/>
          <w:szCs w:val="19"/>
          <w:lang w:val="en-US"/>
        </w:rPr>
        <w:t>, propuse de Comisie pentru următorul buget pe termen lung al UE. Noul fond InvestEU se va baza pe modelul de succes al FEIS și va urmări să deblocheze investiții suplimentare în valoare de 650 de miliarde euro, în timp ce </w:t>
      </w:r>
      <w:hyperlink r:id="rId11" w:history="1">
        <w:r w:rsidRPr="00C37A97">
          <w:rPr>
            <w:rFonts w:ascii="Verdana" w:eastAsia="Times New Roman" w:hAnsi="Verdana" w:cs="Times New Roman"/>
            <w:color w:val="0065A2"/>
            <w:sz w:val="19"/>
            <w:szCs w:val="19"/>
            <w:u w:val="single"/>
            <w:lang w:val="en-US"/>
          </w:rPr>
          <w:t>Programul de sprijin pentru reforme</w:t>
        </w:r>
      </w:hyperlink>
      <w:r w:rsidRPr="00C37A97">
        <w:rPr>
          <w:rFonts w:ascii="Verdana" w:eastAsia="Times New Roman" w:hAnsi="Verdana" w:cs="Times New Roman"/>
          <w:color w:val="000000"/>
          <w:sz w:val="19"/>
          <w:szCs w:val="19"/>
          <w:lang w:val="en-US"/>
        </w:rPr>
        <w:t> va acorda sprijin tehnic și financiar statelor membre în vederea realizării reformelor.</w:t>
      </w:r>
    </w:p>
    <w:p w14:paraId="18900E1D" w14:textId="77777777" w:rsidR="00C37A97" w:rsidRPr="00C37A97" w:rsidRDefault="00C37A97" w:rsidP="00C37A97">
      <w:pPr>
        <w:shd w:val="clear" w:color="auto" w:fill="FFFFFF"/>
        <w:spacing w:after="150" w:line="240" w:lineRule="auto"/>
        <w:rPr>
          <w:rFonts w:ascii="Verdana" w:eastAsia="Times New Roman" w:hAnsi="Verdana" w:cs="Times New Roman"/>
          <w:color w:val="000000"/>
          <w:sz w:val="19"/>
          <w:szCs w:val="19"/>
          <w:lang w:val="en-US"/>
        </w:rPr>
      </w:pPr>
      <w:r w:rsidRPr="00C37A97">
        <w:rPr>
          <w:rFonts w:ascii="Verdana" w:eastAsia="Times New Roman" w:hAnsi="Verdana" w:cs="Times New Roman"/>
          <w:color w:val="000000"/>
          <w:sz w:val="19"/>
          <w:szCs w:val="19"/>
          <w:lang w:val="en-US"/>
        </w:rPr>
        <w:t>Totodată, prezenta </w:t>
      </w:r>
      <w:hyperlink r:id="rId12" w:history="1">
        <w:r w:rsidRPr="00C37A97">
          <w:rPr>
            <w:rFonts w:ascii="Verdana" w:eastAsia="Times New Roman" w:hAnsi="Verdana" w:cs="Times New Roman"/>
            <w:color w:val="0065A2"/>
            <w:sz w:val="19"/>
            <w:szCs w:val="19"/>
            <w:u w:val="single"/>
            <w:lang w:val="en-US"/>
          </w:rPr>
          <w:t>comunicare</w:t>
        </w:r>
      </w:hyperlink>
      <w:hyperlink r:id="rId13" w:history="1">
        <w:r w:rsidRPr="00C37A97">
          <w:rPr>
            <w:rFonts w:ascii="Verdana" w:eastAsia="Times New Roman" w:hAnsi="Verdana" w:cs="Times New Roman"/>
            <w:color w:val="999999"/>
            <w:sz w:val="11"/>
            <w:szCs w:val="11"/>
            <w:u w:val="single"/>
            <w:bdr w:val="single" w:sz="6" w:space="2" w:color="AAAAAA" w:frame="1"/>
            <w:shd w:val="clear" w:color="auto" w:fill="FFFFFF"/>
            <w:lang w:val="en-US"/>
          </w:rPr>
          <w:t>Căutați traducerile disponibile pentru linkul precedent</w:t>
        </w:r>
        <w:r w:rsidRPr="00C37A97">
          <w:rPr>
            <w:rFonts w:ascii="Verdana" w:eastAsia="Times New Roman" w:hAnsi="Verdana" w:cs="Times New Roman"/>
            <w:color w:val="AAAAAA"/>
            <w:sz w:val="11"/>
            <w:szCs w:val="11"/>
            <w:u w:val="single"/>
            <w:bdr w:val="single" w:sz="6" w:space="2" w:color="AAAAAA" w:frame="1"/>
            <w:shd w:val="clear" w:color="auto" w:fill="FFFFFF"/>
            <w:lang w:val="en-US"/>
          </w:rPr>
          <w:t>EN</w:t>
        </w:r>
        <w:r w:rsidRPr="00C37A97">
          <w:rPr>
            <w:rFonts w:ascii="Verdana" w:eastAsia="Times New Roman" w:hAnsi="Verdana" w:cs="Times New Roman"/>
            <w:b/>
            <w:bCs/>
            <w:color w:val="CCCCCC"/>
            <w:sz w:val="11"/>
            <w:szCs w:val="11"/>
            <w:u w:val="single"/>
            <w:bdr w:val="single" w:sz="6" w:space="2" w:color="AAAAAA" w:frame="1"/>
            <w:shd w:val="clear" w:color="auto" w:fill="FFFFFF"/>
            <w:lang w:val="en-US"/>
          </w:rPr>
          <w:t>•••</w:t>
        </w:r>
      </w:hyperlink>
      <w:r w:rsidRPr="00C37A97">
        <w:rPr>
          <w:rFonts w:ascii="Verdana" w:eastAsia="Times New Roman" w:hAnsi="Verdana" w:cs="Times New Roman"/>
          <w:color w:val="000000"/>
          <w:sz w:val="19"/>
          <w:szCs w:val="19"/>
          <w:lang w:val="en-US"/>
        </w:rPr>
        <w:t> subliniază necesitatea următoarelor eforturi susținute și coordonate:</w:t>
      </w:r>
    </w:p>
    <w:p w14:paraId="697A2D8C" w14:textId="77777777" w:rsidR="00C37A97" w:rsidRPr="00C37A97" w:rsidRDefault="00C37A97" w:rsidP="00C37A97">
      <w:pPr>
        <w:numPr>
          <w:ilvl w:val="0"/>
          <w:numId w:val="1"/>
        </w:numPr>
        <w:shd w:val="clear" w:color="auto" w:fill="FFFFFF"/>
        <w:spacing w:before="75" w:after="75" w:line="240" w:lineRule="auto"/>
        <w:rPr>
          <w:rFonts w:ascii="Verdana" w:eastAsia="Times New Roman" w:hAnsi="Verdana" w:cs="Times New Roman"/>
          <w:color w:val="333333"/>
          <w:sz w:val="19"/>
          <w:szCs w:val="19"/>
          <w:lang w:val="en-US"/>
        </w:rPr>
      </w:pPr>
      <w:r w:rsidRPr="00C37A97">
        <w:rPr>
          <w:rFonts w:ascii="Verdana" w:eastAsia="Times New Roman" w:hAnsi="Verdana" w:cs="Times New Roman"/>
          <w:b/>
          <w:bCs/>
          <w:color w:val="333333"/>
          <w:sz w:val="19"/>
          <w:szCs w:val="19"/>
          <w:lang w:val="en-US"/>
        </w:rPr>
        <w:t>eliminarea blocajelor în materie de reglementare;</w:t>
      </w:r>
    </w:p>
    <w:p w14:paraId="0F324AD9" w14:textId="77777777" w:rsidR="00C37A97" w:rsidRPr="00C37A97" w:rsidRDefault="00C37A97" w:rsidP="00C37A97">
      <w:pPr>
        <w:numPr>
          <w:ilvl w:val="0"/>
          <w:numId w:val="1"/>
        </w:numPr>
        <w:shd w:val="clear" w:color="auto" w:fill="FFFFFF"/>
        <w:spacing w:before="75" w:after="75" w:line="240" w:lineRule="auto"/>
        <w:rPr>
          <w:rFonts w:ascii="Verdana" w:eastAsia="Times New Roman" w:hAnsi="Verdana" w:cs="Times New Roman"/>
          <w:color w:val="333333"/>
          <w:sz w:val="19"/>
          <w:szCs w:val="19"/>
          <w:lang w:val="en-US"/>
        </w:rPr>
      </w:pPr>
      <w:r w:rsidRPr="00C37A97">
        <w:rPr>
          <w:rFonts w:ascii="Verdana" w:eastAsia="Times New Roman" w:hAnsi="Verdana" w:cs="Times New Roman"/>
          <w:b/>
          <w:bCs/>
          <w:color w:val="333333"/>
          <w:sz w:val="19"/>
          <w:szCs w:val="19"/>
          <w:lang w:val="en-US"/>
        </w:rPr>
        <w:t>continuarea reformelor structurale favorabile întreprinderilor.</w:t>
      </w:r>
    </w:p>
    <w:p w14:paraId="176E2B65" w14:textId="77777777" w:rsidR="00C37A97" w:rsidRPr="00C37A97" w:rsidRDefault="00C37A97" w:rsidP="00C37A97">
      <w:pPr>
        <w:shd w:val="clear" w:color="auto" w:fill="FFFFFF"/>
        <w:spacing w:after="150" w:line="240" w:lineRule="auto"/>
        <w:jc w:val="both"/>
        <w:rPr>
          <w:rFonts w:ascii="Verdana" w:eastAsia="Times New Roman" w:hAnsi="Verdana" w:cs="Times New Roman"/>
          <w:color w:val="000000"/>
          <w:sz w:val="19"/>
          <w:szCs w:val="19"/>
          <w:lang w:val="en-US"/>
        </w:rPr>
      </w:pPr>
      <w:r w:rsidRPr="00C37A97">
        <w:rPr>
          <w:rFonts w:ascii="Verdana" w:eastAsia="Times New Roman" w:hAnsi="Verdana" w:cs="Times New Roman"/>
          <w:color w:val="000000"/>
          <w:sz w:val="19"/>
          <w:szCs w:val="19"/>
          <w:lang w:val="en-US"/>
        </w:rPr>
        <w:t>Atât </w:t>
      </w:r>
      <w:hyperlink r:id="rId14" w:history="1">
        <w:r w:rsidRPr="00C37A97">
          <w:rPr>
            <w:rFonts w:ascii="Verdana" w:eastAsia="Times New Roman" w:hAnsi="Verdana" w:cs="Times New Roman"/>
            <w:color w:val="0065A2"/>
            <w:sz w:val="19"/>
            <w:szCs w:val="19"/>
            <w:u w:val="single"/>
            <w:lang w:val="en-US"/>
          </w:rPr>
          <w:t>analiza anuală a creșterii</w:t>
        </w:r>
      </w:hyperlink>
      <w:hyperlink r:id="rId15" w:history="1">
        <w:r w:rsidRPr="00C37A97">
          <w:rPr>
            <w:rFonts w:ascii="Verdana" w:eastAsia="Times New Roman" w:hAnsi="Verdana" w:cs="Times New Roman"/>
            <w:color w:val="999999"/>
            <w:sz w:val="11"/>
            <w:szCs w:val="11"/>
            <w:u w:val="single"/>
            <w:bdr w:val="single" w:sz="6" w:space="2" w:color="AAAAAA" w:frame="1"/>
            <w:shd w:val="clear" w:color="auto" w:fill="FFFFFF"/>
            <w:lang w:val="en-US"/>
          </w:rPr>
          <w:t>Căutați traducerile disponibile pentru linkul precedent</w:t>
        </w:r>
        <w:r w:rsidRPr="00C37A97">
          <w:rPr>
            <w:rFonts w:ascii="Verdana" w:eastAsia="Times New Roman" w:hAnsi="Verdana" w:cs="Times New Roman"/>
            <w:color w:val="AAAAAA"/>
            <w:sz w:val="11"/>
            <w:szCs w:val="11"/>
            <w:u w:val="single"/>
            <w:bdr w:val="single" w:sz="6" w:space="2" w:color="AAAAAA" w:frame="1"/>
            <w:shd w:val="clear" w:color="auto" w:fill="FFFFFF"/>
            <w:lang w:val="en-US"/>
          </w:rPr>
          <w:t>EN</w:t>
        </w:r>
        <w:r w:rsidRPr="00C37A97">
          <w:rPr>
            <w:rFonts w:ascii="Verdana" w:eastAsia="Times New Roman" w:hAnsi="Verdana" w:cs="Times New Roman"/>
            <w:b/>
            <w:bCs/>
            <w:color w:val="CCCCCC"/>
            <w:sz w:val="11"/>
            <w:szCs w:val="11"/>
            <w:u w:val="single"/>
            <w:bdr w:val="single" w:sz="6" w:space="2" w:color="AAAAAA" w:frame="1"/>
            <w:shd w:val="clear" w:color="auto" w:fill="FFFFFF"/>
            <w:lang w:val="en-US"/>
          </w:rPr>
          <w:t>•••</w:t>
        </w:r>
      </w:hyperlink>
      <w:r w:rsidRPr="00C37A97">
        <w:rPr>
          <w:rFonts w:ascii="Verdana" w:eastAsia="Times New Roman" w:hAnsi="Verdana" w:cs="Times New Roman"/>
          <w:color w:val="000000"/>
          <w:sz w:val="19"/>
          <w:szCs w:val="19"/>
          <w:lang w:val="en-US"/>
        </w:rPr>
        <w:t> (AAC) pentru 2019, publicată în contextul </w:t>
      </w:r>
      <w:hyperlink r:id="rId16" w:history="1">
        <w:r w:rsidRPr="00C37A97">
          <w:rPr>
            <w:rFonts w:ascii="Verdana" w:eastAsia="Times New Roman" w:hAnsi="Verdana" w:cs="Times New Roman"/>
            <w:color w:val="0065A2"/>
            <w:sz w:val="19"/>
            <w:szCs w:val="19"/>
            <w:u w:val="single"/>
            <w:lang w:val="en-US"/>
          </w:rPr>
          <w:t>pachetului de toamnă din cadrul semestrului european</w:t>
        </w:r>
      </w:hyperlink>
      <w:hyperlink r:id="rId17" w:history="1">
        <w:r w:rsidRPr="00C37A97">
          <w:rPr>
            <w:rFonts w:ascii="Verdana" w:eastAsia="Times New Roman" w:hAnsi="Verdana" w:cs="Times New Roman"/>
            <w:color w:val="999999"/>
            <w:sz w:val="11"/>
            <w:szCs w:val="11"/>
            <w:u w:val="single"/>
            <w:bdr w:val="single" w:sz="6" w:space="2" w:color="AAAAAA" w:frame="1"/>
            <w:shd w:val="clear" w:color="auto" w:fill="FFFFFF"/>
            <w:lang w:val="en-US"/>
          </w:rPr>
          <w:t>Căutați traducerile disponibile pentru linkul precedent</w:t>
        </w:r>
        <w:r w:rsidRPr="00C37A97">
          <w:rPr>
            <w:rFonts w:ascii="Verdana" w:eastAsia="Times New Roman" w:hAnsi="Verdana" w:cs="Times New Roman"/>
            <w:color w:val="AAAAAA"/>
            <w:sz w:val="11"/>
            <w:szCs w:val="11"/>
            <w:u w:val="single"/>
            <w:bdr w:val="single" w:sz="6" w:space="2" w:color="AAAAAA" w:frame="1"/>
            <w:shd w:val="clear" w:color="auto" w:fill="FFFFFF"/>
            <w:lang w:val="en-US"/>
          </w:rPr>
          <w:t>EN</w:t>
        </w:r>
        <w:r w:rsidRPr="00C37A97">
          <w:rPr>
            <w:rFonts w:ascii="Verdana" w:eastAsia="Times New Roman" w:hAnsi="Verdana" w:cs="Times New Roman"/>
            <w:b/>
            <w:bCs/>
            <w:color w:val="CCCCCC"/>
            <w:sz w:val="11"/>
            <w:szCs w:val="11"/>
            <w:u w:val="single"/>
            <w:bdr w:val="single" w:sz="6" w:space="2" w:color="AAAAAA" w:frame="1"/>
            <w:shd w:val="clear" w:color="auto" w:fill="FFFFFF"/>
            <w:lang w:val="en-US"/>
          </w:rPr>
          <w:t>•••</w:t>
        </w:r>
      </w:hyperlink>
      <w:r w:rsidRPr="00C37A97">
        <w:rPr>
          <w:rFonts w:ascii="Verdana" w:eastAsia="Times New Roman" w:hAnsi="Verdana" w:cs="Times New Roman"/>
          <w:color w:val="000000"/>
          <w:sz w:val="19"/>
          <w:szCs w:val="19"/>
          <w:lang w:val="en-US"/>
        </w:rPr>
        <w:t>, precum și un sondaj </w:t>
      </w:r>
      <w:hyperlink r:id="rId18" w:history="1">
        <w:r w:rsidRPr="00C37A97">
          <w:rPr>
            <w:rFonts w:ascii="Verdana" w:eastAsia="Times New Roman" w:hAnsi="Verdana" w:cs="Times New Roman"/>
            <w:color w:val="0065A2"/>
            <w:sz w:val="19"/>
            <w:szCs w:val="19"/>
            <w:u w:val="single"/>
            <w:lang w:val="en-US"/>
          </w:rPr>
          <w:t>Eurobarometru</w:t>
        </w:r>
      </w:hyperlink>
      <w:r w:rsidRPr="00C37A97">
        <w:rPr>
          <w:rFonts w:ascii="Verdana" w:eastAsia="Times New Roman" w:hAnsi="Verdana" w:cs="Times New Roman"/>
          <w:color w:val="000000"/>
          <w:sz w:val="19"/>
          <w:szCs w:val="19"/>
          <w:lang w:val="en-US"/>
        </w:rPr>
        <w:t>, publicat astăzi, sprijină ideea că sunt necesare mai multe eforturi pentru a înlătura barierele din calea investițiilor în Europa.</w:t>
      </w:r>
    </w:p>
    <w:p w14:paraId="78837CE2" w14:textId="77777777" w:rsidR="00C37A97" w:rsidRPr="00C37A97" w:rsidRDefault="00C37A97" w:rsidP="00C37A97">
      <w:pPr>
        <w:shd w:val="clear" w:color="auto" w:fill="FFFFFF"/>
        <w:spacing w:after="150" w:line="240" w:lineRule="auto"/>
        <w:jc w:val="both"/>
        <w:rPr>
          <w:rFonts w:ascii="Verdana" w:eastAsia="Times New Roman" w:hAnsi="Verdana" w:cs="Times New Roman"/>
          <w:color w:val="000000"/>
          <w:sz w:val="19"/>
          <w:szCs w:val="19"/>
          <w:lang w:val="en-US"/>
        </w:rPr>
      </w:pPr>
      <w:r w:rsidRPr="00C37A97">
        <w:rPr>
          <w:rFonts w:ascii="Verdana" w:eastAsia="Times New Roman" w:hAnsi="Verdana" w:cs="Times New Roman"/>
          <w:b/>
          <w:bCs/>
          <w:color w:val="333333"/>
          <w:sz w:val="19"/>
          <w:szCs w:val="19"/>
          <w:lang w:val="en-US"/>
        </w:rPr>
        <w:t>Context</w:t>
      </w:r>
    </w:p>
    <w:p w14:paraId="675AD6F8" w14:textId="77777777" w:rsidR="00C37A97" w:rsidRPr="00C37A97" w:rsidRDefault="00C37A97" w:rsidP="00C37A97">
      <w:pPr>
        <w:shd w:val="clear" w:color="auto" w:fill="FFFFFF"/>
        <w:spacing w:after="150" w:line="240" w:lineRule="auto"/>
        <w:jc w:val="both"/>
        <w:rPr>
          <w:rFonts w:ascii="Verdana" w:eastAsia="Times New Roman" w:hAnsi="Verdana" w:cs="Times New Roman"/>
          <w:color w:val="000000"/>
          <w:sz w:val="19"/>
          <w:szCs w:val="19"/>
          <w:lang w:val="en-US"/>
        </w:rPr>
      </w:pPr>
      <w:hyperlink r:id="rId19" w:history="1">
        <w:r w:rsidRPr="00C37A97">
          <w:rPr>
            <w:rFonts w:ascii="Verdana" w:eastAsia="Times New Roman" w:hAnsi="Verdana" w:cs="Times New Roman"/>
            <w:color w:val="0065A2"/>
            <w:sz w:val="19"/>
            <w:szCs w:val="19"/>
            <w:u w:val="single"/>
            <w:lang w:val="en-US"/>
          </w:rPr>
          <w:t>În iulie 2018</w:t>
        </w:r>
      </w:hyperlink>
      <w:r w:rsidRPr="00C37A97">
        <w:rPr>
          <w:rFonts w:ascii="Verdana" w:eastAsia="Times New Roman" w:hAnsi="Verdana" w:cs="Times New Roman"/>
          <w:color w:val="000000"/>
          <w:sz w:val="19"/>
          <w:szCs w:val="19"/>
          <w:lang w:val="en-US"/>
        </w:rPr>
        <w:t>, Planul Juncker a depășit obiectivul său de investiții inițial de 315 miliarde euro. Până în prezent au fost aprobate 933 de operațiuni în cadrul FEIS, care se preconizează că vor genera investiții în valoare de 360 de miliarde euro în cele 28 de state membre ale UE, cu un obiectiv de 500 de miliarde euro până în 2020.</w:t>
      </w:r>
    </w:p>
    <w:p w14:paraId="22F5E573" w14:textId="77777777" w:rsidR="00C37A97" w:rsidRPr="00C37A97" w:rsidRDefault="00C37A97" w:rsidP="00C37A97">
      <w:pPr>
        <w:shd w:val="clear" w:color="auto" w:fill="FFFFFF"/>
        <w:spacing w:after="150" w:line="240" w:lineRule="auto"/>
        <w:jc w:val="both"/>
        <w:rPr>
          <w:rFonts w:ascii="Verdana" w:eastAsia="Times New Roman" w:hAnsi="Verdana" w:cs="Times New Roman"/>
          <w:color w:val="000000"/>
          <w:sz w:val="19"/>
          <w:szCs w:val="19"/>
          <w:lang w:val="en-US"/>
        </w:rPr>
      </w:pPr>
      <w:r w:rsidRPr="00C37A97">
        <w:rPr>
          <w:rFonts w:ascii="Verdana" w:eastAsia="Times New Roman" w:hAnsi="Verdana" w:cs="Times New Roman"/>
          <w:color w:val="000000"/>
          <w:sz w:val="19"/>
          <w:szCs w:val="19"/>
          <w:lang w:val="en-US"/>
        </w:rPr>
        <w:t> </w:t>
      </w:r>
    </w:p>
    <w:p w14:paraId="4E704232" w14:textId="77777777" w:rsidR="00C37A97" w:rsidRPr="00C37A97" w:rsidRDefault="00C37A97" w:rsidP="00C37A97">
      <w:pPr>
        <w:shd w:val="clear" w:color="auto" w:fill="FFFFFF"/>
        <w:spacing w:after="150" w:line="240" w:lineRule="auto"/>
        <w:jc w:val="both"/>
        <w:rPr>
          <w:rFonts w:ascii="Verdana" w:eastAsia="Times New Roman" w:hAnsi="Verdana" w:cs="Times New Roman"/>
          <w:color w:val="000000"/>
          <w:sz w:val="19"/>
          <w:szCs w:val="19"/>
          <w:lang w:val="en-US"/>
        </w:rPr>
      </w:pPr>
      <w:r w:rsidRPr="00C37A97">
        <w:rPr>
          <w:rFonts w:ascii="Verdana" w:eastAsia="Times New Roman" w:hAnsi="Verdana" w:cs="Times New Roman"/>
          <w:b/>
          <w:bCs/>
          <w:color w:val="333333"/>
          <w:sz w:val="19"/>
          <w:szCs w:val="19"/>
          <w:lang w:val="en-US"/>
        </w:rPr>
        <w:t>Persoane de contact pentru presă:</w:t>
      </w:r>
    </w:p>
    <w:p w14:paraId="43A854B3" w14:textId="77777777" w:rsidR="00C37A97" w:rsidRPr="00C37A97" w:rsidRDefault="00C37A97" w:rsidP="00C37A97">
      <w:pPr>
        <w:shd w:val="clear" w:color="auto" w:fill="FFFFFF"/>
        <w:spacing w:after="150" w:line="240" w:lineRule="auto"/>
        <w:jc w:val="both"/>
        <w:rPr>
          <w:rFonts w:ascii="Verdana" w:eastAsia="Times New Roman" w:hAnsi="Verdana" w:cs="Times New Roman"/>
          <w:color w:val="000000"/>
          <w:sz w:val="19"/>
          <w:szCs w:val="19"/>
          <w:lang w:val="en-US"/>
        </w:rPr>
      </w:pPr>
      <w:hyperlink r:id="rId20" w:history="1">
        <w:r w:rsidRPr="00C37A97">
          <w:rPr>
            <w:rFonts w:ascii="Verdana" w:eastAsia="Times New Roman" w:hAnsi="Verdana" w:cs="Times New Roman"/>
            <w:color w:val="0065A2"/>
            <w:sz w:val="19"/>
            <w:szCs w:val="19"/>
            <w:u w:val="single"/>
            <w:lang w:val="en-US"/>
          </w:rPr>
          <w:t>Johannes BAHRKE</w:t>
        </w:r>
      </w:hyperlink>
      <w:r w:rsidRPr="00C37A97">
        <w:rPr>
          <w:rFonts w:ascii="Verdana" w:eastAsia="Times New Roman" w:hAnsi="Verdana" w:cs="Times New Roman"/>
          <w:color w:val="000000"/>
          <w:sz w:val="19"/>
          <w:szCs w:val="19"/>
          <w:lang w:val="en-US"/>
        </w:rPr>
        <w:t> (+32 2 295 86 15)</w:t>
      </w:r>
    </w:p>
    <w:p w14:paraId="2BC63D62" w14:textId="77777777" w:rsidR="00C37A97" w:rsidRPr="00C37A97" w:rsidRDefault="00C37A97" w:rsidP="00C37A97">
      <w:pPr>
        <w:shd w:val="clear" w:color="auto" w:fill="FFFFFF"/>
        <w:spacing w:after="150" w:line="240" w:lineRule="auto"/>
        <w:jc w:val="both"/>
        <w:rPr>
          <w:rFonts w:ascii="Verdana" w:eastAsia="Times New Roman" w:hAnsi="Verdana" w:cs="Times New Roman"/>
          <w:color w:val="000000"/>
          <w:sz w:val="19"/>
          <w:szCs w:val="19"/>
          <w:lang w:val="en-US"/>
        </w:rPr>
      </w:pPr>
      <w:hyperlink r:id="rId21" w:history="1">
        <w:r w:rsidRPr="00C37A97">
          <w:rPr>
            <w:rFonts w:ascii="Verdana" w:eastAsia="Times New Roman" w:hAnsi="Verdana" w:cs="Times New Roman"/>
            <w:color w:val="0065A2"/>
            <w:sz w:val="19"/>
            <w:szCs w:val="19"/>
            <w:u w:val="single"/>
            <w:lang w:val="en-US"/>
          </w:rPr>
          <w:t>Sophie DUPIN DE SAINT-CYR</w:t>
        </w:r>
      </w:hyperlink>
      <w:r w:rsidRPr="00C37A97">
        <w:rPr>
          <w:rFonts w:ascii="Verdana" w:eastAsia="Times New Roman" w:hAnsi="Verdana" w:cs="Times New Roman"/>
          <w:color w:val="000000"/>
          <w:sz w:val="19"/>
          <w:szCs w:val="19"/>
          <w:lang w:val="en-US"/>
        </w:rPr>
        <w:t> (+32 2 295 61 69)</w:t>
      </w:r>
    </w:p>
    <w:p w14:paraId="6F2D90B8" w14:textId="77777777" w:rsidR="00C37A97" w:rsidRPr="00C37A97" w:rsidRDefault="00C37A97" w:rsidP="00C37A97">
      <w:pPr>
        <w:shd w:val="clear" w:color="auto" w:fill="FFFFFF"/>
        <w:spacing w:after="150" w:line="240" w:lineRule="auto"/>
        <w:jc w:val="both"/>
        <w:rPr>
          <w:rFonts w:ascii="Verdana" w:eastAsia="Times New Roman" w:hAnsi="Verdana" w:cs="Times New Roman"/>
          <w:color w:val="000000"/>
          <w:sz w:val="19"/>
          <w:szCs w:val="19"/>
          <w:lang w:val="en-US"/>
        </w:rPr>
      </w:pPr>
      <w:r w:rsidRPr="00C37A97">
        <w:rPr>
          <w:rFonts w:ascii="Verdana" w:eastAsia="Times New Roman" w:hAnsi="Verdana" w:cs="Times New Roman"/>
          <w:b/>
          <w:bCs/>
          <w:color w:val="333333"/>
          <w:sz w:val="19"/>
          <w:szCs w:val="19"/>
          <w:lang w:val="en-US"/>
        </w:rPr>
        <w:t>Întrebări din partea publicului larg:</w:t>
      </w:r>
    </w:p>
    <w:p w14:paraId="4215E4EB" w14:textId="77777777" w:rsidR="00C37A97" w:rsidRPr="00C37A97" w:rsidRDefault="00C37A97" w:rsidP="00C37A97">
      <w:pPr>
        <w:shd w:val="clear" w:color="auto" w:fill="FFFFFF"/>
        <w:spacing w:after="150" w:line="240" w:lineRule="auto"/>
        <w:jc w:val="both"/>
        <w:rPr>
          <w:rFonts w:ascii="Verdana" w:eastAsia="Times New Roman" w:hAnsi="Verdana" w:cs="Times New Roman"/>
          <w:color w:val="000000"/>
          <w:sz w:val="19"/>
          <w:szCs w:val="19"/>
          <w:lang w:val="en-US"/>
        </w:rPr>
      </w:pPr>
      <w:hyperlink r:id="rId22" w:tgtFrame="_new" w:history="1">
        <w:r w:rsidRPr="00C37A97">
          <w:rPr>
            <w:rFonts w:ascii="Verdana" w:eastAsia="Times New Roman" w:hAnsi="Verdana" w:cs="Times New Roman"/>
            <w:color w:val="0065A2"/>
            <w:sz w:val="19"/>
            <w:szCs w:val="19"/>
            <w:u w:val="single"/>
            <w:lang w:val="en-US"/>
          </w:rPr>
          <w:t>Europe Direct</w:t>
        </w:r>
      </w:hyperlink>
      <w:r w:rsidRPr="00C37A97">
        <w:rPr>
          <w:rFonts w:ascii="Verdana" w:eastAsia="Times New Roman" w:hAnsi="Verdana" w:cs="Times New Roman"/>
          <w:color w:val="000000"/>
          <w:sz w:val="19"/>
          <w:szCs w:val="19"/>
          <w:lang w:val="en-US"/>
        </w:rPr>
        <w:t> la numărul de telefon </w:t>
      </w:r>
      <w:hyperlink r:id="rId23" w:tgtFrame="_new" w:history="1">
        <w:r w:rsidRPr="00C37A97">
          <w:rPr>
            <w:rFonts w:ascii="Verdana" w:eastAsia="Times New Roman" w:hAnsi="Verdana" w:cs="Times New Roman"/>
            <w:color w:val="0065A2"/>
            <w:sz w:val="19"/>
            <w:szCs w:val="19"/>
            <w:u w:val="single"/>
            <w:lang w:val="en-US"/>
          </w:rPr>
          <w:t>00 800 67 89 10 11</w:t>
        </w:r>
      </w:hyperlink>
      <w:r w:rsidRPr="00C37A97">
        <w:rPr>
          <w:rFonts w:ascii="Verdana" w:eastAsia="Times New Roman" w:hAnsi="Verdana" w:cs="Times New Roman"/>
          <w:color w:val="000000"/>
          <w:sz w:val="19"/>
          <w:szCs w:val="19"/>
          <w:lang w:val="en-US"/>
        </w:rPr>
        <w:t> sau prin </w:t>
      </w:r>
      <w:hyperlink r:id="rId24" w:tgtFrame="_new" w:history="1">
        <w:r w:rsidRPr="00C37A97">
          <w:rPr>
            <w:rFonts w:ascii="Verdana" w:eastAsia="Times New Roman" w:hAnsi="Verdana" w:cs="Times New Roman"/>
            <w:color w:val="0065A2"/>
            <w:sz w:val="19"/>
            <w:szCs w:val="19"/>
            <w:u w:val="single"/>
            <w:lang w:val="en-US"/>
          </w:rPr>
          <w:t>email</w:t>
        </w:r>
      </w:hyperlink>
    </w:p>
    <w:p w14:paraId="5CFBF1CC" w14:textId="77777777" w:rsidR="00C37A97" w:rsidRPr="00C37A97" w:rsidRDefault="00C37A97" w:rsidP="00C37A97">
      <w:pPr>
        <w:shd w:val="clear" w:color="auto" w:fill="FFFFFF"/>
        <w:spacing w:after="150" w:line="240" w:lineRule="auto"/>
        <w:jc w:val="both"/>
        <w:rPr>
          <w:rFonts w:ascii="Verdana" w:eastAsia="Times New Roman" w:hAnsi="Verdana" w:cs="Times New Roman"/>
          <w:color w:val="000000"/>
          <w:sz w:val="19"/>
          <w:szCs w:val="19"/>
          <w:lang w:val="en-US"/>
        </w:rPr>
      </w:pPr>
      <w:r w:rsidRPr="00C37A97">
        <w:rPr>
          <w:rFonts w:ascii="Verdana" w:eastAsia="Times New Roman" w:hAnsi="Verdana" w:cs="Times New Roman"/>
          <w:color w:val="000000"/>
          <w:sz w:val="19"/>
          <w:szCs w:val="19"/>
          <w:lang w:val="en-US"/>
        </w:rPr>
        <w:t> </w:t>
      </w:r>
    </w:p>
    <w:p w14:paraId="4A815276" w14:textId="77777777" w:rsidR="00334534" w:rsidRDefault="00334534">
      <w:bookmarkStart w:id="0" w:name="_GoBack"/>
      <w:bookmarkEnd w:id="0"/>
    </w:p>
    <w:sectPr w:rsidR="00334534">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41D6B"/>
    <w:multiLevelType w:val="multilevel"/>
    <w:tmpl w:val="B176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A97"/>
    <w:rsid w:val="00334534"/>
    <w:rsid w:val="00C3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93E04"/>
  <w15:chartTrackingRefBased/>
  <w15:docId w15:val="{3DC136D3-11EF-4175-B29E-72441EEE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105307">
      <w:bodyDiv w:val="1"/>
      <w:marLeft w:val="0"/>
      <w:marRight w:val="0"/>
      <w:marTop w:val="0"/>
      <w:marBottom w:val="0"/>
      <w:divBdr>
        <w:top w:val="none" w:sz="0" w:space="0" w:color="auto"/>
        <w:left w:val="none" w:sz="0" w:space="0" w:color="auto"/>
        <w:bottom w:val="none" w:sz="0" w:space="0" w:color="auto"/>
        <w:right w:val="none" w:sz="0" w:space="0" w:color="auto"/>
      </w:divBdr>
      <w:divsChild>
        <w:div w:id="1124809804">
          <w:marLeft w:val="0"/>
          <w:marRight w:val="0"/>
          <w:marTop w:val="0"/>
          <w:marBottom w:val="0"/>
          <w:divBdr>
            <w:top w:val="none" w:sz="0" w:space="0" w:color="auto"/>
            <w:left w:val="none" w:sz="0" w:space="0" w:color="auto"/>
            <w:bottom w:val="dotted" w:sz="6" w:space="0" w:color="C5C3C3"/>
            <w:right w:val="none" w:sz="0" w:space="0" w:color="auto"/>
          </w:divBdr>
          <w:divsChild>
            <w:div w:id="2048291950">
              <w:marLeft w:val="0"/>
              <w:marRight w:val="0"/>
              <w:marTop w:val="0"/>
              <w:marBottom w:val="0"/>
              <w:divBdr>
                <w:top w:val="none" w:sz="0" w:space="0" w:color="auto"/>
                <w:left w:val="none" w:sz="0" w:space="0" w:color="auto"/>
                <w:bottom w:val="none" w:sz="0" w:space="0" w:color="auto"/>
                <w:right w:val="none" w:sz="0" w:space="0" w:color="auto"/>
              </w:divBdr>
              <w:divsChild>
                <w:div w:id="1244951660">
                  <w:marLeft w:val="0"/>
                  <w:marRight w:val="0"/>
                  <w:marTop w:val="0"/>
                  <w:marBottom w:val="0"/>
                  <w:divBdr>
                    <w:top w:val="none" w:sz="0" w:space="0" w:color="auto"/>
                    <w:left w:val="none" w:sz="0" w:space="0" w:color="auto"/>
                    <w:bottom w:val="none" w:sz="0" w:space="0" w:color="auto"/>
                    <w:right w:val="none" w:sz="0" w:space="0" w:color="auto"/>
                  </w:divBdr>
                  <w:divsChild>
                    <w:div w:id="53281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3522">
          <w:marLeft w:val="60"/>
          <w:marRight w:val="0"/>
          <w:marTop w:val="75"/>
          <w:marBottom w:val="0"/>
          <w:divBdr>
            <w:top w:val="none" w:sz="0" w:space="0" w:color="auto"/>
            <w:left w:val="none" w:sz="0" w:space="0" w:color="auto"/>
            <w:bottom w:val="none" w:sz="0" w:space="0" w:color="auto"/>
            <w:right w:val="none" w:sz="0" w:space="0" w:color="auto"/>
          </w:divBdr>
          <w:divsChild>
            <w:div w:id="1631744385">
              <w:marLeft w:val="0"/>
              <w:marRight w:val="0"/>
              <w:marTop w:val="0"/>
              <w:marBottom w:val="0"/>
              <w:divBdr>
                <w:top w:val="none" w:sz="0" w:space="0" w:color="auto"/>
                <w:left w:val="none" w:sz="0" w:space="0" w:color="auto"/>
                <w:bottom w:val="none" w:sz="0" w:space="0" w:color="auto"/>
                <w:right w:val="none" w:sz="0" w:space="0" w:color="auto"/>
              </w:divBdr>
              <w:divsChild>
                <w:div w:id="114696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136631">
          <w:marLeft w:val="0"/>
          <w:marRight w:val="0"/>
          <w:marTop w:val="0"/>
          <w:marBottom w:val="120"/>
          <w:divBdr>
            <w:top w:val="none" w:sz="0" w:space="0" w:color="auto"/>
            <w:left w:val="none" w:sz="0" w:space="0" w:color="auto"/>
            <w:bottom w:val="none" w:sz="0" w:space="0" w:color="auto"/>
            <w:right w:val="none" w:sz="0" w:space="0" w:color="auto"/>
          </w:divBdr>
          <w:divsChild>
            <w:div w:id="1227566293">
              <w:marLeft w:val="0"/>
              <w:marRight w:val="0"/>
              <w:marTop w:val="0"/>
              <w:marBottom w:val="0"/>
              <w:divBdr>
                <w:top w:val="none" w:sz="0" w:space="0" w:color="auto"/>
                <w:left w:val="none" w:sz="0" w:space="0" w:color="auto"/>
                <w:bottom w:val="none" w:sz="0" w:space="0" w:color="auto"/>
                <w:right w:val="none" w:sz="0" w:space="0" w:color="auto"/>
              </w:divBdr>
              <w:divsChild>
                <w:div w:id="178068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http://ec.europa.eu/commfrontoffice/publicopinion/index.cfm/survey/getsurveydetail/instruments/flash/surveyky/215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sophie.dupin-de-saint-cyr@ec.europa.eu" TargetMode="External"/><Relationship Id="rId7" Type="http://schemas.openxmlformats.org/officeDocument/2006/relationships/hyperlink" Target="https://ec.europa.eu/commission/priorities/jobs-growth-and-investment/investment-plan-europe-juncker-plan/investment-plan-results_en" TargetMode="External"/><Relationship Id="rId12" Type="http://schemas.openxmlformats.org/officeDocument/2006/relationships/hyperlink" Target="https://ec.europa.eu/commission/files/juncker-plan-work-bringing-investment-back-track-europe_en" TargetMode="External"/><Relationship Id="rId17" Type="http://schemas.openxmlformats.org/officeDocument/2006/relationships/hyperlink" Target="javascript:void(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uropa.eu/rapid/press-release_IP-18-6462_en.htm" TargetMode="External"/><Relationship Id="rId20" Type="http://schemas.openxmlformats.org/officeDocument/2006/relationships/hyperlink" Target="mailto:johannes.bahrke@ec.europa.eu" TargetMode="External"/><Relationship Id="rId1" Type="http://schemas.openxmlformats.org/officeDocument/2006/relationships/numbering" Target="numbering.xml"/><Relationship Id="rId6" Type="http://schemas.openxmlformats.org/officeDocument/2006/relationships/hyperlink" Target="https://ec.europa.eu/eipp/desktop/ro/index.html" TargetMode="External"/><Relationship Id="rId11" Type="http://schemas.openxmlformats.org/officeDocument/2006/relationships/hyperlink" Target="http://europa.eu/rapid/press-release_IP-18-3972_ro.htm" TargetMode="External"/><Relationship Id="rId24" Type="http://schemas.openxmlformats.org/officeDocument/2006/relationships/hyperlink" Target="http://europa.eu/contact/write-to-us/index_ro.htm" TargetMode="External"/><Relationship Id="rId5" Type="http://schemas.openxmlformats.org/officeDocument/2006/relationships/hyperlink" Target="http://eiah.eib.org/" TargetMode="External"/><Relationship Id="rId15" Type="http://schemas.openxmlformats.org/officeDocument/2006/relationships/hyperlink" Target="javascript:void(0)" TargetMode="External"/><Relationship Id="rId23" Type="http://schemas.openxmlformats.org/officeDocument/2006/relationships/hyperlink" Target="http://europa.eu/contact/call-us/index_ro.htm" TargetMode="External"/><Relationship Id="rId10" Type="http://schemas.openxmlformats.org/officeDocument/2006/relationships/hyperlink" Target="http://europa.eu/rapid/press-release_IP-18-4086_ro.htm" TargetMode="External"/><Relationship Id="rId19" Type="http://schemas.openxmlformats.org/officeDocument/2006/relationships/hyperlink" Target="http://europa.eu/rapid/press-release_IP-18-4469_ro.htm" TargetMode="External"/><Relationship Id="rId4" Type="http://schemas.openxmlformats.org/officeDocument/2006/relationships/webSettings" Target="webSettings.xml"/><Relationship Id="rId9" Type="http://schemas.openxmlformats.org/officeDocument/2006/relationships/hyperlink" Target="http://europa.eu/rapid/press-release_IP-18-4008_ro.htm" TargetMode="External"/><Relationship Id="rId14" Type="http://schemas.openxmlformats.org/officeDocument/2006/relationships/hyperlink" Target="https://ec.europa.eu/info/publications/2019-european-semester-annual-growth-survey_en" TargetMode="External"/><Relationship Id="rId22" Type="http://schemas.openxmlformats.org/officeDocument/2006/relationships/hyperlink" Target="http://europa.eu/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5133</Characters>
  <Application>Microsoft Office Word</Application>
  <DocSecurity>0</DocSecurity>
  <Lines>42</Lines>
  <Paragraphs>12</Paragraphs>
  <ScaleCrop>false</ScaleCrop>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Savescu Andrei</dc:creator>
  <cp:keywords/>
  <dc:description/>
  <cp:lastModifiedBy>Savescu Andrei</cp:lastModifiedBy>
  <cp:revision>1</cp:revision>
  <dcterms:created xsi:type="dcterms:W3CDTF">2018-11-23T08:35:00Z</dcterms:created>
  <dcterms:modified xsi:type="dcterms:W3CDTF">2018-11-23T08:35:00Z</dcterms:modified>
</cp:coreProperties>
</file>