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F57B" w14:textId="77777777" w:rsidR="00EF4221" w:rsidRPr="00EF4221" w:rsidRDefault="00EF4221" w:rsidP="00EF4221">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hyperlink r:id="rId4" w:history="1">
        <w:r w:rsidRPr="00EF4221">
          <w:rPr>
            <w:rFonts w:ascii="inherit" w:eastAsia="Times New Roman" w:hAnsi="inherit" w:cs="Times New Roman"/>
            <w:b/>
            <w:bCs/>
            <w:i/>
            <w:iCs/>
            <w:color w:val="547CA4"/>
            <w:sz w:val="18"/>
            <w:szCs w:val="18"/>
            <w:u w:val="single"/>
            <w:bdr w:val="none" w:sz="0" w:space="0" w:color="auto" w:frame="1"/>
            <w:lang w:val="en-US"/>
          </w:rPr>
          <w:t>Decizia președintelui Autorității Naționale pentru Administrare și Reglementare în Comunicații nr. 997/2018 privind tarifele maxime care pot fi percepute pentru exercitarea dreptului de acces pe, deasupra, în sau sub imobilele proprietate publică</w:t>
        </w:r>
      </w:hyperlink>
      <w:r w:rsidRPr="00EF4221">
        <w:rPr>
          <w:rFonts w:ascii="inherit" w:eastAsia="Times New Roman" w:hAnsi="inherit" w:cs="Times New Roman"/>
          <w:b/>
          <w:bCs/>
          <w:i/>
          <w:iCs/>
          <w:color w:val="393939"/>
          <w:sz w:val="18"/>
          <w:szCs w:val="18"/>
          <w:bdr w:val="none" w:sz="0" w:space="0" w:color="auto" w:frame="1"/>
          <w:lang w:val="en-US"/>
        </w:rPr>
        <w:t> </w:t>
      </w:r>
      <w:r w:rsidRPr="00EF4221">
        <w:rPr>
          <w:rFonts w:ascii="inherit" w:eastAsia="Times New Roman" w:hAnsi="inherit" w:cs="Times New Roman"/>
          <w:b/>
          <w:bCs/>
          <w:color w:val="393939"/>
          <w:sz w:val="18"/>
          <w:szCs w:val="18"/>
          <w:bdr w:val="none" w:sz="0" w:space="0" w:color="auto" w:frame="1"/>
          <w:lang w:val="en-US"/>
        </w:rPr>
        <w:t xml:space="preserve">a fost publicată în Monitorul Oficial al României, Partea I, nr. 1013/29.11.2018. </w:t>
      </w:r>
      <w:bookmarkStart w:id="0" w:name="_GoBack"/>
      <w:r w:rsidRPr="00EF4221">
        <w:rPr>
          <w:rFonts w:ascii="inherit" w:eastAsia="Times New Roman" w:hAnsi="inherit" w:cs="Times New Roman"/>
          <w:b/>
          <w:bCs/>
          <w:color w:val="393939"/>
          <w:sz w:val="18"/>
          <w:szCs w:val="18"/>
          <w:bdr w:val="none" w:sz="0" w:space="0" w:color="auto" w:frame="1"/>
          <w:lang w:val="en-US"/>
        </w:rPr>
        <w:t>Decizia stabilește nivelul maxim al tarifelor care pot fi percepute operatorilor de rețele de comunicaţii electronice pentru exercitarea dreptului de acces pe, deasupra, în sau sub imobilele proprietate publică administrate de autoritățile administrației publice centrale sau locale.</w:t>
      </w:r>
      <w:bookmarkEnd w:id="0"/>
    </w:p>
    <w:p w14:paraId="6E4A4087" w14:textId="77777777" w:rsidR="00EF4221" w:rsidRPr="00EF4221" w:rsidRDefault="00EF4221" w:rsidP="00EF4221">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F4221">
        <w:rPr>
          <w:rFonts w:ascii="Verdana" w:eastAsia="Times New Roman" w:hAnsi="Verdana" w:cs="Times New Roman"/>
          <w:b/>
          <w:bCs/>
          <w:color w:val="D51C28"/>
          <w:sz w:val="18"/>
          <w:szCs w:val="18"/>
          <w:u w:val="single"/>
          <w:bdr w:val="none" w:sz="0" w:space="0" w:color="auto" w:frame="1"/>
          <w:lang w:val="en-US"/>
        </w:rPr>
        <w:t>Cui i se aplică decizia?</w:t>
      </w:r>
    </w:p>
    <w:p w14:paraId="319A7ADF" w14:textId="77777777" w:rsidR="00EF4221" w:rsidRPr="00EF4221" w:rsidRDefault="00EF4221" w:rsidP="00EF4221">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F4221">
        <w:rPr>
          <w:rFonts w:ascii="inherit" w:eastAsia="Times New Roman" w:hAnsi="inherit" w:cs="Times New Roman"/>
          <w:color w:val="393939"/>
          <w:sz w:val="18"/>
          <w:szCs w:val="18"/>
          <w:bdr w:val="none" w:sz="0" w:space="0" w:color="auto" w:frame="1"/>
          <w:lang w:val="en-US"/>
        </w:rPr>
        <w:t>Decizia ANCOM se aplică </w:t>
      </w:r>
      <w:r w:rsidRPr="00EF4221">
        <w:rPr>
          <w:rFonts w:ascii="inherit" w:eastAsia="Times New Roman" w:hAnsi="inherit" w:cs="Times New Roman"/>
          <w:b/>
          <w:bCs/>
          <w:color w:val="393939"/>
          <w:sz w:val="18"/>
          <w:szCs w:val="18"/>
          <w:bdr w:val="none" w:sz="0" w:space="0" w:color="auto" w:frame="1"/>
          <w:lang w:val="en-US"/>
        </w:rPr>
        <w:t>instituţiilor publice</w:t>
      </w:r>
      <w:r w:rsidRPr="00EF4221">
        <w:rPr>
          <w:rFonts w:ascii="inherit" w:eastAsia="Times New Roman" w:hAnsi="inherit" w:cs="Times New Roman"/>
          <w:color w:val="393939"/>
          <w:sz w:val="18"/>
          <w:szCs w:val="18"/>
          <w:bdr w:val="none" w:sz="0" w:space="0" w:color="auto" w:frame="1"/>
          <w:lang w:val="en-US"/>
        </w:rPr>
        <w:t>, inclusiv </w:t>
      </w:r>
      <w:r w:rsidRPr="00EF4221">
        <w:rPr>
          <w:rFonts w:ascii="inherit" w:eastAsia="Times New Roman" w:hAnsi="inherit" w:cs="Times New Roman"/>
          <w:b/>
          <w:bCs/>
          <w:color w:val="393939"/>
          <w:sz w:val="18"/>
          <w:szCs w:val="18"/>
          <w:bdr w:val="none" w:sz="0" w:space="0" w:color="auto" w:frame="1"/>
          <w:lang w:val="en-US"/>
        </w:rPr>
        <w:t>autorităţilor administraţiei publice centrale sau locale</w:t>
      </w:r>
      <w:r w:rsidRPr="00EF4221">
        <w:rPr>
          <w:rFonts w:ascii="inherit" w:eastAsia="Times New Roman" w:hAnsi="inherit" w:cs="Times New Roman"/>
          <w:color w:val="393939"/>
          <w:sz w:val="18"/>
          <w:szCs w:val="18"/>
          <w:bdr w:val="none" w:sz="0" w:space="0" w:color="auto" w:frame="1"/>
          <w:lang w:val="en-US"/>
        </w:rPr>
        <w:t>, precum şi oricăror alte entităţi care exercită dreptul de administrare asupra imobilelor proprietate publică a statului ori a unităţilor administrativ-teritoriale și care nu dețin infrastructuri prin care să furnizeze utilități publice sau servicii de transport.</w:t>
      </w:r>
    </w:p>
    <w:p w14:paraId="0E68925C" w14:textId="77777777" w:rsidR="00EF4221" w:rsidRPr="00EF4221" w:rsidRDefault="00EF4221" w:rsidP="00EF4221">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F4221">
        <w:rPr>
          <w:rFonts w:ascii="inherit" w:eastAsia="Times New Roman" w:hAnsi="inherit" w:cs="Times New Roman"/>
          <w:color w:val="393939"/>
          <w:sz w:val="18"/>
          <w:szCs w:val="18"/>
          <w:bdr w:val="none" w:sz="0" w:space="0" w:color="auto" w:frame="1"/>
          <w:lang w:val="en-US"/>
        </w:rPr>
        <w:t>Tarifele stabilite prin decizie vor fi achitate de către furnizorii de reţele de comunicaţii electronice interesaţi să obţină acces la imobilele deţinute de instituţiile publice sau entitățile sus-menționate.</w:t>
      </w:r>
    </w:p>
    <w:p w14:paraId="5CC382A0" w14:textId="77777777" w:rsidR="00EF4221" w:rsidRPr="00EF4221" w:rsidRDefault="00EF4221" w:rsidP="00EF4221">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F4221">
        <w:rPr>
          <w:rFonts w:ascii="Verdana" w:eastAsia="Times New Roman" w:hAnsi="Verdana" w:cs="Times New Roman"/>
          <w:b/>
          <w:bCs/>
          <w:color w:val="D51C28"/>
          <w:sz w:val="18"/>
          <w:szCs w:val="18"/>
          <w:u w:val="single"/>
          <w:bdr w:val="none" w:sz="0" w:space="0" w:color="auto" w:frame="1"/>
          <w:lang w:val="en-US"/>
        </w:rPr>
        <w:t>Prevederile deciziei</w:t>
      </w:r>
    </w:p>
    <w:p w14:paraId="53771E99" w14:textId="77777777" w:rsidR="00EF4221" w:rsidRPr="00EF4221" w:rsidRDefault="00EF4221" w:rsidP="00EF4221">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F4221">
        <w:rPr>
          <w:rFonts w:ascii="inherit" w:eastAsia="Times New Roman" w:hAnsi="inherit" w:cs="Times New Roman"/>
          <w:color w:val="393939"/>
          <w:sz w:val="18"/>
          <w:szCs w:val="18"/>
          <w:bdr w:val="none" w:sz="0" w:space="0" w:color="auto" w:frame="1"/>
          <w:lang w:val="en-US"/>
        </w:rPr>
        <w:t>Decizia prevede că </w:t>
      </w:r>
      <w:r w:rsidRPr="00EF4221">
        <w:rPr>
          <w:rFonts w:ascii="inherit" w:eastAsia="Times New Roman" w:hAnsi="inherit" w:cs="Times New Roman"/>
          <w:color w:val="393939"/>
          <w:sz w:val="18"/>
          <w:szCs w:val="18"/>
          <w:bdr w:val="none" w:sz="0" w:space="0" w:color="auto" w:frame="1"/>
          <w:lang w:val="fr-FR"/>
        </w:rPr>
        <w:t>tariful pentru exercitarea dreptului de acces la elemente de infrastructură ca antene, cabinete, camere tehnice, camere de tragere, conducte, stații de bază, stâlpi,</w:t>
      </w:r>
      <w:r w:rsidRPr="00EF4221">
        <w:rPr>
          <w:rFonts w:ascii="inherit" w:eastAsia="Times New Roman" w:hAnsi="inherit" w:cs="Times New Roman"/>
          <w:color w:val="393939"/>
          <w:sz w:val="18"/>
          <w:szCs w:val="18"/>
          <w:bdr w:val="none" w:sz="0" w:space="0" w:color="auto" w:frame="1"/>
          <w:lang w:val="en-US"/>
        </w:rPr>
        <w:t> piloni,</w:t>
      </w:r>
      <w:r w:rsidRPr="00EF4221">
        <w:rPr>
          <w:rFonts w:ascii="inherit" w:eastAsia="Times New Roman" w:hAnsi="inherit" w:cs="Times New Roman"/>
          <w:color w:val="393939"/>
          <w:sz w:val="18"/>
          <w:szCs w:val="18"/>
          <w:bdr w:val="none" w:sz="0" w:space="0" w:color="auto" w:frame="1"/>
          <w:lang w:val="fr-FR"/>
        </w:rPr>
        <w:t> turnuri, alte echipamente și infrastructuri fizice suport, precum și pentru cablurile și cutiile pentru care se exercită un alt tip de acces decât cel prevăzut în anexa deciziei nu poate depăși valoarea de zero lei. </w:t>
      </w:r>
      <w:r w:rsidRPr="00EF4221">
        <w:rPr>
          <w:rFonts w:ascii="inherit" w:eastAsia="Times New Roman" w:hAnsi="inherit" w:cs="Times New Roman"/>
          <w:color w:val="393939"/>
          <w:sz w:val="18"/>
          <w:szCs w:val="18"/>
          <w:bdr w:val="none" w:sz="0" w:space="0" w:color="auto" w:frame="1"/>
          <w:lang w:val="en-US"/>
        </w:rPr>
        <w:t>Totodată, decizia stabilește </w:t>
      </w:r>
      <w:r w:rsidRPr="00EF4221">
        <w:rPr>
          <w:rFonts w:ascii="inherit" w:eastAsia="Times New Roman" w:hAnsi="inherit" w:cs="Times New Roman"/>
          <w:color w:val="393939"/>
          <w:sz w:val="18"/>
          <w:szCs w:val="18"/>
          <w:bdr w:val="none" w:sz="0" w:space="0" w:color="auto" w:frame="1"/>
          <w:lang w:val="fr-FR"/>
        </w:rPr>
        <w:t>tarifele maxime pozitive pentru 48 de tipuri de acces.</w:t>
      </w:r>
    </w:p>
    <w:p w14:paraId="1BDDB1B2" w14:textId="77777777" w:rsidR="00EF4221" w:rsidRPr="00EF4221" w:rsidRDefault="00EF4221" w:rsidP="00EF4221">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F4221">
        <w:rPr>
          <w:rFonts w:ascii="Verdana" w:eastAsia="Times New Roman" w:hAnsi="Verdana" w:cs="Times New Roman"/>
          <w:color w:val="393939"/>
          <w:sz w:val="18"/>
          <w:szCs w:val="18"/>
          <w:bdr w:val="none" w:sz="0" w:space="0" w:color="auto" w:frame="1"/>
          <w:lang w:val="en-US"/>
        </w:rPr>
        <w:t>Până la data de </w:t>
      </w:r>
      <w:r w:rsidRPr="00EF4221">
        <w:rPr>
          <w:rFonts w:ascii="Verdana" w:eastAsia="Times New Roman" w:hAnsi="Verdana" w:cs="Times New Roman"/>
          <w:b/>
          <w:bCs/>
          <w:color w:val="393939"/>
          <w:sz w:val="18"/>
          <w:szCs w:val="18"/>
          <w:lang w:val="en-US"/>
        </w:rPr>
        <w:t>27 ianuarie 2019</w:t>
      </w:r>
      <w:r w:rsidRPr="00EF4221">
        <w:rPr>
          <w:rFonts w:ascii="Verdana" w:eastAsia="Times New Roman" w:hAnsi="Verdana" w:cs="Times New Roman"/>
          <w:color w:val="393939"/>
          <w:sz w:val="18"/>
          <w:szCs w:val="18"/>
          <w:bdr w:val="none" w:sz="0" w:space="0" w:color="auto" w:frame="1"/>
          <w:lang w:val="en-US"/>
        </w:rPr>
        <w:t>, pentru imobilele proprietate publică unde au fost realizate lucrări de acces pe proprietăți, entitățile vizate urmează să publice, modifice sau completeze condițiile în care se realizează dreptul de acces (inclusiv tarifele maxime) la imobile proprietate publică, precum și documentele pe care solicitantul urmează să le prezinte în vederea dovedirii îndeplinirii acestor condiții.</w:t>
      </w:r>
    </w:p>
    <w:p w14:paraId="78776402" w14:textId="77777777" w:rsidR="00334534" w:rsidRPr="00EF4221" w:rsidRDefault="00334534" w:rsidP="00EF4221">
      <w:pPr>
        <w:rPr>
          <w:rStyle w:val="Emphasis"/>
          <w:i w:val="0"/>
          <w:iCs w:val="0"/>
        </w:rPr>
      </w:pPr>
    </w:p>
    <w:sectPr w:rsidR="00334534" w:rsidRPr="00EF422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21"/>
    <w:rsid w:val="00334534"/>
    <w:rsid w:val="00E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DEC4"/>
  <w15:chartTrackingRefBased/>
  <w15:docId w15:val="{8152FA5F-F5B9-45AF-BCC1-87A278AE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2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F4221"/>
    <w:rPr>
      <w:color w:val="0000FF"/>
      <w:u w:val="single"/>
    </w:rPr>
  </w:style>
  <w:style w:type="paragraph" w:styleId="BodyText">
    <w:name w:val="Body Text"/>
    <w:basedOn w:val="Normal"/>
    <w:link w:val="BodyTextChar"/>
    <w:uiPriority w:val="99"/>
    <w:semiHidden/>
    <w:unhideWhenUsed/>
    <w:rsid w:val="00EF42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EF4221"/>
    <w:rPr>
      <w:rFonts w:ascii="Times New Roman" w:eastAsia="Times New Roman" w:hAnsi="Times New Roman" w:cs="Times New Roman"/>
      <w:sz w:val="24"/>
      <w:szCs w:val="24"/>
    </w:rPr>
  </w:style>
  <w:style w:type="character" w:styleId="Emphasis">
    <w:name w:val="Emphasis"/>
    <w:basedOn w:val="DefaultParagraphFont"/>
    <w:uiPriority w:val="20"/>
    <w:qFormat/>
    <w:rsid w:val="00EF4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99765">
      <w:bodyDiv w:val="1"/>
      <w:marLeft w:val="0"/>
      <w:marRight w:val="0"/>
      <w:marTop w:val="0"/>
      <w:marBottom w:val="0"/>
      <w:divBdr>
        <w:top w:val="none" w:sz="0" w:space="0" w:color="auto"/>
        <w:left w:val="none" w:sz="0" w:space="0" w:color="auto"/>
        <w:bottom w:val="none" w:sz="0" w:space="0" w:color="auto"/>
        <w:right w:val="none" w:sz="0" w:space="0" w:color="auto"/>
      </w:divBdr>
    </w:div>
    <w:div w:id="18512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com.org.ro/uploads/forms_files/Decizie_ANCOM_997-201815434899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1</cp:revision>
  <dcterms:created xsi:type="dcterms:W3CDTF">2018-12-04T09:08:00Z</dcterms:created>
  <dcterms:modified xsi:type="dcterms:W3CDTF">2018-12-04T09:13:00Z</dcterms:modified>
</cp:coreProperties>
</file>