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8260" w14:textId="77777777" w:rsidR="00322717" w:rsidRPr="00322717" w:rsidRDefault="00322717" w:rsidP="00322717">
      <w:pPr>
        <w:shd w:val="clear" w:color="auto" w:fill="E7E7E7"/>
        <w:spacing w:before="100" w:beforeAutospacing="1" w:after="100" w:afterAutospacing="1"/>
        <w:jc w:val="center"/>
        <w:outlineLvl w:val="0"/>
        <w:rPr>
          <w:rFonts w:ascii="Tahoma" w:eastAsia="Times New Roman" w:hAnsi="Tahoma" w:cs="Tahoma"/>
          <w:caps/>
          <w:color w:val="B80000"/>
          <w:kern w:val="36"/>
        </w:rPr>
      </w:pPr>
      <w:r w:rsidRPr="00322717">
        <w:rPr>
          <w:rFonts w:ascii="Tahoma" w:eastAsia="Times New Roman" w:hAnsi="Tahoma" w:cs="Tahoma"/>
          <w:caps/>
          <w:color w:val="B80000"/>
          <w:kern w:val="36"/>
        </w:rPr>
        <w:t>COMUNICAT DE PRESĂ</w:t>
      </w:r>
    </w:p>
    <w:p w14:paraId="0C8269C1" w14:textId="77777777" w:rsidR="00322717" w:rsidRPr="00322717" w:rsidRDefault="00322717" w:rsidP="00322717">
      <w:pPr>
        <w:rPr>
          <w:rFonts w:ascii="Trebuchet MS" w:eastAsia="Times New Roman" w:hAnsi="Trebuchet MS" w:cs="Times New Roman"/>
          <w:color w:val="000000"/>
        </w:rPr>
      </w:pPr>
      <w:r w:rsidRPr="00322717">
        <w:rPr>
          <w:rFonts w:ascii="Trebuchet MS" w:eastAsia="Times New Roman" w:hAnsi="Trebuchet MS" w:cs="Times New Roman"/>
          <w:i/>
          <w:iCs/>
          <w:color w:val="000000"/>
          <w:sz w:val="17"/>
          <w:szCs w:val="17"/>
        </w:rPr>
        <w:t>06.12.2018</w:t>
      </w:r>
    </w:p>
    <w:p w14:paraId="021FD288"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t>În ziua de 6 decembrie 2018, Plenul Curții Constituționale, învestit în temeiul art.146 lit.d) din Constituția României, al art.11 alin.(1) lit.d) și al art.29 din Legea nr.47/1992 privind organizarea și funcționarea Curții Constituționale, a luat în dezbatere excepția de neconstituționalitate a sintagmei „</w:t>
      </w:r>
      <w:r w:rsidRPr="00322717">
        <w:rPr>
          <w:rFonts w:ascii="Arial" w:hAnsi="Arial" w:cs="Arial"/>
          <w:i/>
          <w:iCs/>
          <w:color w:val="000000"/>
        </w:rPr>
        <w:t>ori altor asemenea interese ale ţării</w:t>
      </w:r>
      <w:r w:rsidRPr="00322717">
        <w:rPr>
          <w:rFonts w:ascii="Arial" w:hAnsi="Arial" w:cs="Arial"/>
          <w:color w:val="000000"/>
        </w:rPr>
        <w:t>" cuprinsă în dispoziţiile art.3 lit.f) din Legea nr.51/1991 privind securitatea naţională a României şi a celor ale art.4 alin.(2) din Legea nr.255/2013 pentru punerea în aplicare a Legii nr.135/2010 privind Codul de procedură penală şi pentru modificarea şi completarea unor acte normative care cuprind dispoziţii procesual penale.</w:t>
      </w:r>
    </w:p>
    <w:p w14:paraId="19DC4E7A"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t>Dispoziţiile criticate au următorul conţinut:</w:t>
      </w:r>
    </w:p>
    <w:p w14:paraId="33BB5219"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t>- Art.3 lit.f) din Legea nr.51/1991: „ </w:t>
      </w:r>
      <w:r w:rsidRPr="00322717">
        <w:rPr>
          <w:rFonts w:ascii="Arial" w:hAnsi="Arial" w:cs="Arial"/>
          <w:i/>
          <w:iCs/>
          <w:color w:val="000000"/>
        </w:rPr>
        <w:t>Constituie ameninţări la adresa securităţii naţionale a României următoarele: [...] f) subminarea, sabotajul sau orice alte acţiuni care au ca scop înlăturarea prin forţă a instituţiilor democratice ale statului ori care aduc atingere gravă drepturilor şi libertăţilor fundamentale ale cetăţenilor români sau pot aduce atingere capacităţii de apărare ori altor asemenea interese ale ţării, precum şi actele de distrugere, degradare ori aducere în stare de neîntrebuinţare a structurilor necesare bunei desfăşurări a vieţii social-economice sau apărării naţionale. "; </w:t>
      </w:r>
    </w:p>
    <w:p w14:paraId="34496745"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t xml:space="preserve">- Art.4 </w:t>
      </w:r>
      <w:proofErr w:type="gramStart"/>
      <w:r w:rsidRPr="00322717">
        <w:rPr>
          <w:rFonts w:ascii="Arial" w:hAnsi="Arial" w:cs="Arial"/>
          <w:color w:val="000000"/>
        </w:rPr>
        <w:t>alin.(</w:t>
      </w:r>
      <w:proofErr w:type="gramEnd"/>
      <w:r w:rsidRPr="00322717">
        <w:rPr>
          <w:rFonts w:ascii="Arial" w:hAnsi="Arial" w:cs="Arial"/>
          <w:color w:val="000000"/>
        </w:rPr>
        <w:t>2) din Legea nr.255/2013:</w:t>
      </w:r>
      <w:r w:rsidRPr="00322717">
        <w:rPr>
          <w:rFonts w:ascii="Arial" w:hAnsi="Arial" w:cs="Arial"/>
          <w:i/>
          <w:iCs/>
          <w:color w:val="000000"/>
        </w:rPr>
        <w:t> „Nulitatea oricărui act sau oricărei lucrări efectuate înainte de intrarea în vigoare a legii noi poate fi invocată numai în condiţiile Codului de procedură penală.</w:t>
      </w:r>
      <w:r w:rsidRPr="00322717">
        <w:rPr>
          <w:rFonts w:ascii="Arial" w:hAnsi="Arial" w:cs="Arial"/>
          <w:color w:val="000000"/>
        </w:rPr>
        <w:t> "</w:t>
      </w:r>
    </w:p>
    <w:p w14:paraId="7F0B81E7"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t>În urma deliberărilor, Curtea Constituțională, cu majoritate de voturi, a admis excepția de neconstituționalitate și a constatat că sintagma „</w:t>
      </w:r>
      <w:r w:rsidRPr="00322717">
        <w:rPr>
          <w:rFonts w:ascii="Arial" w:hAnsi="Arial" w:cs="Arial"/>
          <w:i/>
          <w:iCs/>
          <w:color w:val="000000"/>
        </w:rPr>
        <w:t>ori altor asemenea interese ale țării</w:t>
      </w:r>
      <w:r w:rsidRPr="00322717">
        <w:rPr>
          <w:rFonts w:ascii="Arial" w:hAnsi="Arial" w:cs="Arial"/>
          <w:color w:val="000000"/>
        </w:rPr>
        <w:t xml:space="preserve">” cuprinsă în art.3 </w:t>
      </w:r>
      <w:proofErr w:type="gramStart"/>
      <w:r w:rsidRPr="00322717">
        <w:rPr>
          <w:rFonts w:ascii="Arial" w:hAnsi="Arial" w:cs="Arial"/>
          <w:color w:val="000000"/>
        </w:rPr>
        <w:t>lit.f</w:t>
      </w:r>
      <w:proofErr w:type="gramEnd"/>
      <w:r w:rsidRPr="00322717">
        <w:rPr>
          <w:rFonts w:ascii="Arial" w:hAnsi="Arial" w:cs="Arial"/>
          <w:color w:val="000000"/>
        </w:rPr>
        <w:t>) din Legea nr.51/1991 privind securitatea națională a României este neconstituțională.</w:t>
      </w:r>
    </w:p>
    <w:p w14:paraId="778371D3"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t xml:space="preserve">Cu unanimitate de voturi a respins, ca inadmisibilă, excepția de neconstituționalitate a dispozițiilor art.4 </w:t>
      </w:r>
      <w:proofErr w:type="gramStart"/>
      <w:r w:rsidRPr="00322717">
        <w:rPr>
          <w:rFonts w:ascii="Arial" w:hAnsi="Arial" w:cs="Arial"/>
          <w:color w:val="000000"/>
        </w:rPr>
        <w:t>alin.(</w:t>
      </w:r>
      <w:proofErr w:type="gramEnd"/>
      <w:r w:rsidRPr="00322717">
        <w:rPr>
          <w:rFonts w:ascii="Arial" w:hAnsi="Arial" w:cs="Arial"/>
          <w:color w:val="000000"/>
        </w:rPr>
        <w:t>2) din Legea nr.255/2013 pentru punerea în aplicare a Legii nr.135/2010 privind Codul de procedură penală și pentru modificarea și completarea unor acte normative care cuprind dispoziții procesual penale.</w:t>
      </w:r>
    </w:p>
    <w:p w14:paraId="08B2B60C"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t>În motivarea soluției de admitere pronunțate, Curtea a constatat că sintagma „</w:t>
      </w:r>
      <w:r w:rsidRPr="00322717">
        <w:rPr>
          <w:rFonts w:ascii="Arial" w:hAnsi="Arial" w:cs="Arial"/>
          <w:i/>
          <w:iCs/>
          <w:color w:val="000000"/>
        </w:rPr>
        <w:t>ori altor asemenea interese ale țării</w:t>
      </w:r>
      <w:r w:rsidRPr="00322717">
        <w:rPr>
          <w:rFonts w:ascii="Arial" w:hAnsi="Arial" w:cs="Arial"/>
          <w:color w:val="000000"/>
        </w:rPr>
        <w:t xml:space="preserve">” încalcă prevederile constituționale cuprinse în art.1 </w:t>
      </w:r>
      <w:proofErr w:type="gramStart"/>
      <w:r w:rsidRPr="00322717">
        <w:rPr>
          <w:rFonts w:ascii="Arial" w:hAnsi="Arial" w:cs="Arial"/>
          <w:color w:val="000000"/>
        </w:rPr>
        <w:t>alin.(</w:t>
      </w:r>
      <w:proofErr w:type="gramEnd"/>
      <w:r w:rsidRPr="00322717">
        <w:rPr>
          <w:rFonts w:ascii="Arial" w:hAnsi="Arial" w:cs="Arial"/>
          <w:color w:val="000000"/>
        </w:rPr>
        <w:t>5) care consacră principiul legalității – în componenta sa referitoare la claritatea și previzibilitatea legii, art.26 referitor la viața privată și art.53 care reglementează condițiile restrângerii exercițiului unor drepturi sau al unor libertăți.</w:t>
      </w:r>
    </w:p>
    <w:p w14:paraId="4AFEB0B7"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t>Decizia este definitivă și general obligatorie și se comunică celor două Camere ale Parlamentului, Guvernului şi instanței de judecată care a sesizat Curtea Constituțională, respectiv Curtea de Apel Braşov - Secţia penală.</w:t>
      </w:r>
    </w:p>
    <w:p w14:paraId="27CE4BD3" w14:textId="77777777" w:rsidR="00322717" w:rsidRPr="00322717" w:rsidRDefault="00322717" w:rsidP="00322717">
      <w:pPr>
        <w:spacing w:before="100" w:beforeAutospacing="1" w:after="100" w:afterAutospacing="1" w:line="273" w:lineRule="atLeast"/>
        <w:jc w:val="center"/>
        <w:rPr>
          <w:rFonts w:ascii="Arial" w:hAnsi="Arial" w:cs="Arial"/>
          <w:color w:val="000000"/>
        </w:rPr>
      </w:pPr>
      <w:r w:rsidRPr="00322717">
        <w:rPr>
          <w:rFonts w:ascii="Arial" w:hAnsi="Arial" w:cs="Arial"/>
          <w:color w:val="000000"/>
        </w:rPr>
        <w:t>*</w:t>
      </w:r>
    </w:p>
    <w:p w14:paraId="303FB458" w14:textId="77777777" w:rsidR="00322717" w:rsidRPr="00322717" w:rsidRDefault="00322717" w:rsidP="00322717">
      <w:pPr>
        <w:spacing w:before="100" w:beforeAutospacing="1" w:after="100" w:afterAutospacing="1" w:line="273" w:lineRule="atLeast"/>
        <w:jc w:val="both"/>
        <w:rPr>
          <w:rFonts w:ascii="Arial" w:hAnsi="Arial" w:cs="Arial"/>
          <w:color w:val="000000"/>
        </w:rPr>
      </w:pPr>
      <w:r w:rsidRPr="00322717">
        <w:rPr>
          <w:rFonts w:ascii="Arial" w:hAnsi="Arial" w:cs="Arial"/>
          <w:color w:val="000000"/>
        </w:rPr>
        <w:lastRenderedPageBreak/>
        <w:t>Argumentele reținute în motivarea soluției pronunțate de Plenul Curții Constituționale vor fi prezentate în cuprinsul deciziei, care se va publica în Monitorul Oficial al României, Partea I.</w:t>
      </w:r>
    </w:p>
    <w:p w14:paraId="16F673E1" w14:textId="77777777" w:rsidR="00322717" w:rsidRPr="00322717" w:rsidRDefault="00322717" w:rsidP="00322717">
      <w:pPr>
        <w:spacing w:before="100" w:beforeAutospacing="1" w:after="100" w:afterAutospacing="1" w:line="273" w:lineRule="atLeast"/>
        <w:jc w:val="center"/>
        <w:rPr>
          <w:rFonts w:ascii="Arial" w:hAnsi="Arial" w:cs="Arial"/>
          <w:color w:val="000000"/>
        </w:rPr>
      </w:pPr>
      <w:r w:rsidRPr="00322717">
        <w:rPr>
          <w:rFonts w:ascii="Arial" w:hAnsi="Arial" w:cs="Arial"/>
          <w:b/>
          <w:bCs/>
          <w:color w:val="000000"/>
        </w:rPr>
        <w:t>Compartimentul Relații externe, relații cu presa şi protocol al Curții Constituționale</w:t>
      </w:r>
    </w:p>
    <w:p w14:paraId="07C84566" w14:textId="77777777" w:rsidR="00322717" w:rsidRPr="00322717" w:rsidRDefault="00322717" w:rsidP="00322717">
      <w:pPr>
        <w:rPr>
          <w:rFonts w:ascii="Times New Roman" w:eastAsia="Times New Roman" w:hAnsi="Times New Roman" w:cs="Times New Roman"/>
        </w:rPr>
      </w:pPr>
    </w:p>
    <w:p w14:paraId="291B188C" w14:textId="77777777" w:rsidR="009D5DA2" w:rsidRDefault="00322717">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17"/>
    <w:rsid w:val="00316E4E"/>
    <w:rsid w:val="00322717"/>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A60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2271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717"/>
    <w:rPr>
      <w:rFonts w:ascii="Times New Roman" w:hAnsi="Times New Roman" w:cs="Times New Roman"/>
      <w:b/>
      <w:bCs/>
      <w:kern w:val="36"/>
      <w:sz w:val="48"/>
      <w:szCs w:val="48"/>
    </w:rPr>
  </w:style>
  <w:style w:type="character" w:customStyle="1" w:styleId="date1">
    <w:name w:val="date1"/>
    <w:basedOn w:val="DefaultParagraphFont"/>
    <w:rsid w:val="00322717"/>
  </w:style>
  <w:style w:type="paragraph" w:styleId="NormalWeb">
    <w:name w:val="Normal (Web)"/>
    <w:basedOn w:val="Normal"/>
    <w:uiPriority w:val="99"/>
    <w:semiHidden/>
    <w:unhideWhenUsed/>
    <w:rsid w:val="0032271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22717"/>
    <w:rPr>
      <w:i/>
      <w:iCs/>
    </w:rPr>
  </w:style>
  <w:style w:type="character" w:customStyle="1" w:styleId="apple-converted-space">
    <w:name w:val="apple-converted-space"/>
    <w:basedOn w:val="DefaultParagraphFont"/>
    <w:rsid w:val="00322717"/>
  </w:style>
  <w:style w:type="character" w:styleId="Strong">
    <w:name w:val="Strong"/>
    <w:basedOn w:val="DefaultParagraphFont"/>
    <w:uiPriority w:val="22"/>
    <w:qFormat/>
    <w:rsid w:val="00322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41279">
      <w:bodyDiv w:val="1"/>
      <w:marLeft w:val="0"/>
      <w:marRight w:val="0"/>
      <w:marTop w:val="0"/>
      <w:marBottom w:val="0"/>
      <w:divBdr>
        <w:top w:val="none" w:sz="0" w:space="0" w:color="auto"/>
        <w:left w:val="none" w:sz="0" w:space="0" w:color="auto"/>
        <w:bottom w:val="none" w:sz="0" w:space="0" w:color="auto"/>
        <w:right w:val="none" w:sz="0" w:space="0" w:color="auto"/>
      </w:divBdr>
      <w:divsChild>
        <w:div w:id="1369186627">
          <w:marLeft w:val="150"/>
          <w:marRight w:val="150"/>
          <w:marTop w:val="45"/>
          <w:marBottom w:val="75"/>
          <w:divBdr>
            <w:top w:val="none" w:sz="0" w:space="0" w:color="auto"/>
            <w:left w:val="none" w:sz="0" w:space="0" w:color="auto"/>
            <w:bottom w:val="none" w:sz="0" w:space="0" w:color="auto"/>
            <w:right w:val="none" w:sz="0" w:space="0" w:color="auto"/>
          </w:divBdr>
        </w:div>
        <w:div w:id="2059553422">
          <w:marLeft w:val="0"/>
          <w:marRight w:val="0"/>
          <w:marTop w:val="0"/>
          <w:marBottom w:val="0"/>
          <w:divBdr>
            <w:top w:val="none" w:sz="0" w:space="0" w:color="auto"/>
            <w:left w:val="none" w:sz="0" w:space="0" w:color="auto"/>
            <w:bottom w:val="none" w:sz="0" w:space="0" w:color="auto"/>
            <w:right w:val="none" w:sz="0" w:space="0" w:color="auto"/>
          </w:divBdr>
          <w:divsChild>
            <w:div w:id="709451491">
              <w:marLeft w:val="0"/>
              <w:marRight w:val="0"/>
              <w:marTop w:val="0"/>
              <w:marBottom w:val="0"/>
              <w:divBdr>
                <w:top w:val="none" w:sz="0" w:space="0" w:color="auto"/>
                <w:left w:val="none" w:sz="0" w:space="0" w:color="auto"/>
                <w:bottom w:val="none" w:sz="0" w:space="0" w:color="auto"/>
                <w:right w:val="none" w:sz="0" w:space="0" w:color="auto"/>
              </w:divBdr>
            </w:div>
            <w:div w:id="14701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Macintosh Word</Application>
  <DocSecurity>0</DocSecurity>
  <Lines>22</Lines>
  <Paragraphs>6</Paragraphs>
  <ScaleCrop>false</ScaleCrop>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2018-12-07T09:07:00Z</dcterms:created>
  <dcterms:modified xsi:type="dcterms:W3CDTF">2018-12-07T09:08:00Z</dcterms:modified>
</cp:coreProperties>
</file>