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12CA" w14:textId="77777777" w:rsidR="00407321" w:rsidRPr="00407321" w:rsidRDefault="00407321" w:rsidP="00407321">
      <w:pPr>
        <w:shd w:val="clear" w:color="auto" w:fill="E7E7E7"/>
        <w:spacing w:before="100" w:beforeAutospacing="1" w:after="100" w:afterAutospacing="1"/>
        <w:jc w:val="center"/>
        <w:outlineLvl w:val="0"/>
        <w:rPr>
          <w:rFonts w:ascii="Tahoma" w:eastAsia="Times New Roman" w:hAnsi="Tahoma" w:cs="Tahoma"/>
          <w:caps/>
          <w:color w:val="B80000"/>
          <w:kern w:val="36"/>
        </w:rPr>
      </w:pPr>
      <w:r w:rsidRPr="00407321">
        <w:rPr>
          <w:rFonts w:ascii="Tahoma" w:eastAsia="Times New Roman" w:hAnsi="Tahoma" w:cs="Tahoma"/>
          <w:caps/>
          <w:color w:val="B80000"/>
          <w:kern w:val="36"/>
        </w:rPr>
        <w:t>COMUNICAT DE PRESĂ</w:t>
      </w:r>
    </w:p>
    <w:p w14:paraId="2277AE2B" w14:textId="77777777" w:rsidR="00407321" w:rsidRPr="00407321" w:rsidRDefault="00407321" w:rsidP="00407321">
      <w:pPr>
        <w:rPr>
          <w:rFonts w:ascii="Trebuchet MS" w:eastAsia="Times New Roman" w:hAnsi="Trebuchet MS" w:cs="Times New Roman"/>
          <w:color w:val="000000"/>
        </w:rPr>
      </w:pPr>
      <w:r w:rsidRPr="00407321">
        <w:rPr>
          <w:rFonts w:ascii="Trebuchet MS" w:eastAsia="Times New Roman" w:hAnsi="Trebuchet MS" w:cs="Times New Roman"/>
          <w:i/>
          <w:iCs/>
          <w:color w:val="000000"/>
          <w:sz w:val="17"/>
          <w:szCs w:val="17"/>
        </w:rPr>
        <w:t>19.12.2018</w:t>
      </w:r>
    </w:p>
    <w:p w14:paraId="646178D7"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b/>
          <w:bCs/>
          <w:color w:val="000000"/>
        </w:rPr>
        <w:t>I.</w:t>
      </w:r>
      <w:r w:rsidRPr="00407321">
        <w:rPr>
          <w:rFonts w:ascii="Arial" w:hAnsi="Arial" w:cs="Arial"/>
          <w:color w:val="000000"/>
        </w:rPr>
        <w:t> În ziua de 19 decembrie 2018, Plenul Curții Constituționale, învestit în temeiul dispozițiilor art.146 lit.e) din Constituție și ale art.11 alin.(1) pct.A lit.e), precum și ale art.34, art.35 și art.36 din Legea nr.47/1992 privind organizarea și funcționarea Curții Constituționale, a luat în dezbatere cererea de soluționare a conflictului juridic de natură constituțională între Președintele României, pe de-o parte și Guvernul României, reprezentat de prim-ministru, pe de altă parte, determinat de refuzul revocării şi, respectiv, numirii unor miniştri, cerere formulată de prim-ministru.</w:t>
      </w:r>
    </w:p>
    <w:p w14:paraId="0A65CC6A"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Curtea Constituțională, cu majoritate de voturi, a decis:</w:t>
      </w:r>
    </w:p>
    <w:p w14:paraId="7E5FBF18"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1. A admis cererea formulată de prim-ministrul României și a constatat existența conflictului juridic de natură constituțională între Președintele României, pe de o parte, și Guvern, reprezentat de prim-ministru, pe de altă parte, generat de refuzul Președintelui României de a emite decretele de revocare din funcție a doi miniștri și/sau de a emite decretele de constatare a vacantării funcțiilor de ministru ca urmare a demisiilor celor doi miniștri;</w:t>
      </w:r>
    </w:p>
    <w:p w14:paraId="3A32EB96"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2. Președintele României urmează să emită de îndată decretele de constatare a vacantării celor două funcții de ministru;</w:t>
      </w:r>
    </w:p>
    <w:p w14:paraId="4E84BAAC"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3. Președintele României urmează să răspundă, de îndată, în scris și motivat, propunerilor înaintate de prim-ministrul României cu privire la numirile în funcția de ministru. </w:t>
      </w:r>
    </w:p>
    <w:p w14:paraId="54FA48E0"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Decizia este definitivă și general obligatorie și se comunică, potrivit art.36 din Legea nr.47/1992, prim-ministrului şi Preşedintelui României.</w:t>
      </w:r>
    </w:p>
    <w:p w14:paraId="20CAA4E6"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b/>
          <w:bCs/>
          <w:color w:val="000000"/>
        </w:rPr>
        <w:t>II. </w:t>
      </w:r>
      <w:r w:rsidRPr="00407321">
        <w:rPr>
          <w:rFonts w:ascii="Arial" w:hAnsi="Arial" w:cs="Arial"/>
          <w:color w:val="000000"/>
        </w:rPr>
        <w:t>În ceea ce priveşte:</w:t>
      </w:r>
    </w:p>
    <w:p w14:paraId="1924D822"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b/>
          <w:bCs/>
          <w:color w:val="000000"/>
        </w:rPr>
        <w:t>A.</w:t>
      </w:r>
      <w:r w:rsidRPr="00407321">
        <w:rPr>
          <w:rFonts w:ascii="Arial" w:hAnsi="Arial" w:cs="Arial"/>
          <w:color w:val="000000"/>
        </w:rPr>
        <w:t xml:space="preserve"> Obiecțiile de neconstituționalitate a dispoziţiilor Legii privind declasificarea unor documente, în ansamblul său, precum şi, în special, a dispoziţiilor art.1 </w:t>
      </w:r>
      <w:proofErr w:type="gramStart"/>
      <w:r w:rsidRPr="00407321">
        <w:rPr>
          <w:rFonts w:ascii="Arial" w:hAnsi="Arial" w:cs="Arial"/>
          <w:color w:val="000000"/>
        </w:rPr>
        <w:t>alin.(</w:t>
      </w:r>
      <w:proofErr w:type="gramEnd"/>
      <w:r w:rsidRPr="00407321">
        <w:rPr>
          <w:rFonts w:ascii="Arial" w:hAnsi="Arial" w:cs="Arial"/>
          <w:color w:val="000000"/>
        </w:rPr>
        <w:t>1), (3) şi (4), art.2, art.3 alin,(1), art.4, art.5 şi art.6 din aceasta, obiecții formulate de Înalta Curte de Casație și Justiție, de un număr de 30 de senatori ai Grupurilor parlamentare ale Partidului Național Liberal și Uniunii Salvați România, și, respectiv, de Președintele României.</w:t>
      </w:r>
    </w:p>
    <w:p w14:paraId="35845C41"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b/>
          <w:bCs/>
          <w:color w:val="000000"/>
        </w:rPr>
        <w:t>B. </w:t>
      </w:r>
      <w:r w:rsidRPr="00407321">
        <w:rPr>
          <w:rFonts w:ascii="Arial" w:hAnsi="Arial" w:cs="Arial"/>
          <w:color w:val="000000"/>
        </w:rPr>
        <w:t>Obiecția de neconstituționalitate a Legii pentru modificarea și completarea Legii nr.254/2013 privind executarea pedepselor și a măsurilor privative de libertate dispuse de organele judiciare în cursul procesului penal, obiecție formulată de un număr de 60 de deputați aparținând Grupului parlamentar al Partidului Național Liberal.</w:t>
      </w:r>
    </w:p>
    <w:p w14:paraId="31D40387"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b/>
          <w:bCs/>
          <w:color w:val="000000"/>
        </w:rPr>
        <w:t>C.</w:t>
      </w:r>
      <w:r w:rsidRPr="00407321">
        <w:rPr>
          <w:rFonts w:ascii="Arial" w:hAnsi="Arial" w:cs="Arial"/>
          <w:color w:val="000000"/>
        </w:rPr>
        <w:t xml:space="preserve"> Obiecția de neconstituționalitate a dispozițiilor art.6 și art.12 din Legea pentru modificarea și completarea Legii nr.64/2008 privind funcționarea în condiții de siguranță a instalațiilor sub presiune, instalațiilor de ridicat și a aparatelor consumatoare de combustibil și privind abrogarea art.II alin.(1) și (4) din Ordonanța Guvernului nr.22/2010 pentru modificarea și completarea Legii nr.64/2008 privind </w:t>
      </w:r>
      <w:r w:rsidRPr="00407321">
        <w:rPr>
          <w:rFonts w:ascii="Arial" w:hAnsi="Arial" w:cs="Arial"/>
          <w:color w:val="000000"/>
        </w:rPr>
        <w:lastRenderedPageBreak/>
        <w:t>funcționarea în condiții de siguranță a instalațiilor sub presiune, instalațiilor de ridicat și a aparatelor consumatoare de combustibil, obiecție formulată de un număr de 50 de deputați aparținând Grupului parlamentar al Uniunii Salvați România, Grupului parlamentar al Partidului Mișcarea Populară și deputați neafiliați</w:t>
      </w:r>
    </w:p>
    <w:p w14:paraId="2D982AAF"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b/>
          <w:bCs/>
          <w:color w:val="000000"/>
        </w:rPr>
        <w:t>D.</w:t>
      </w:r>
      <w:r w:rsidRPr="00407321">
        <w:rPr>
          <w:rFonts w:ascii="Arial" w:hAnsi="Arial" w:cs="Arial"/>
          <w:color w:val="000000"/>
        </w:rPr>
        <w:t> Sesizările de neconstituționalitate privind Hotărârea Parlamentului României nr.37/2018 privind numirea membrilor Consiliului Autorității de Supraveghere Financiară, sesizări formulate de Grupul parlamentar al Partidului Uniunea Salvați România din Camera Deputaţilor şi, respectiv, de Grupul parlamentar al Partidului Național Liberal din Senat.</w:t>
      </w:r>
    </w:p>
    <w:p w14:paraId="41AA50D8"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Având nevoie de timp, Curtea Constituțională a amânat începerea dezbaterilor pentru data de </w:t>
      </w:r>
      <w:r w:rsidRPr="00407321">
        <w:rPr>
          <w:rFonts w:ascii="Arial" w:hAnsi="Arial" w:cs="Arial"/>
          <w:b/>
          <w:bCs/>
          <w:color w:val="000000"/>
        </w:rPr>
        <w:t>16 ianuarie 2019</w:t>
      </w:r>
      <w:r w:rsidRPr="00407321">
        <w:rPr>
          <w:rFonts w:ascii="Arial" w:hAnsi="Arial" w:cs="Arial"/>
          <w:color w:val="000000"/>
        </w:rPr>
        <w:t>.</w:t>
      </w:r>
    </w:p>
    <w:p w14:paraId="3DEC3D12"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b/>
          <w:bCs/>
          <w:color w:val="000000"/>
        </w:rPr>
        <w:t>E.</w:t>
      </w:r>
      <w:r w:rsidRPr="00407321">
        <w:rPr>
          <w:rFonts w:ascii="Arial" w:hAnsi="Arial" w:cs="Arial"/>
          <w:color w:val="000000"/>
        </w:rPr>
        <w:t> Cererea de soluționare a conflictului juridic de natură constituțională dintre Ministerul Public - Parchetul de pe lângă Înalta Curte de Casație și Justiție, pe de-o parte, și Parlamentul României, Înalta Curte de Casație și Justiție și celelalte instanțe judecătorești, pe de altă parte, declanşat de semnarea a două protocoale între Ministerul Public - Parchetul de pe lângă Înalta Curte de Casaţie şi Justiţie şi Serviciul Român de Informaţii, cerere formulată de preşedintele Camerei Deputaţilor.</w:t>
      </w:r>
    </w:p>
    <w:p w14:paraId="2AEFA3C6"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Având nevoie de timp, Curtea Constituțională a amânat pronunțarea pentru data de </w:t>
      </w:r>
      <w:r w:rsidRPr="00407321">
        <w:rPr>
          <w:rFonts w:ascii="Arial" w:hAnsi="Arial" w:cs="Arial"/>
          <w:b/>
          <w:bCs/>
          <w:color w:val="000000"/>
        </w:rPr>
        <w:t>16 ianuarie 2019</w:t>
      </w:r>
      <w:r w:rsidRPr="00407321">
        <w:rPr>
          <w:rFonts w:ascii="Arial" w:hAnsi="Arial" w:cs="Arial"/>
          <w:color w:val="000000"/>
        </w:rPr>
        <w:t>.</w:t>
      </w:r>
    </w:p>
    <w:p w14:paraId="466A9A4D" w14:textId="77777777" w:rsidR="00407321" w:rsidRPr="00407321" w:rsidRDefault="00407321" w:rsidP="00407321">
      <w:pPr>
        <w:spacing w:before="100" w:beforeAutospacing="1" w:after="100" w:afterAutospacing="1" w:line="273" w:lineRule="atLeast"/>
        <w:jc w:val="center"/>
        <w:rPr>
          <w:rFonts w:ascii="Arial" w:hAnsi="Arial" w:cs="Arial"/>
          <w:color w:val="000000"/>
        </w:rPr>
      </w:pPr>
      <w:r w:rsidRPr="00407321">
        <w:rPr>
          <w:rFonts w:ascii="Arial" w:hAnsi="Arial" w:cs="Arial"/>
          <w:color w:val="000000"/>
        </w:rPr>
        <w:t>*</w:t>
      </w:r>
    </w:p>
    <w:p w14:paraId="02AE5EBB" w14:textId="77777777" w:rsidR="00407321" w:rsidRPr="00407321" w:rsidRDefault="00407321" w:rsidP="00407321">
      <w:pPr>
        <w:spacing w:before="100" w:beforeAutospacing="1" w:after="100" w:afterAutospacing="1" w:line="273" w:lineRule="atLeast"/>
        <w:jc w:val="both"/>
        <w:rPr>
          <w:rFonts w:ascii="Arial" w:hAnsi="Arial" w:cs="Arial"/>
          <w:color w:val="000000"/>
        </w:rPr>
      </w:pPr>
      <w:r w:rsidRPr="00407321">
        <w:rPr>
          <w:rFonts w:ascii="Arial" w:hAnsi="Arial" w:cs="Arial"/>
          <w:color w:val="000000"/>
        </w:rPr>
        <w:t>Argumentele reținute în motivarea soluției pronunțate de Plenul Curții Constituționale vor fi prezentate în cuprinsul deciziei, care se va publica în Monitorul Oficial al României, Partea I.</w:t>
      </w:r>
    </w:p>
    <w:p w14:paraId="7674EED7" w14:textId="77777777" w:rsidR="00407321" w:rsidRPr="00407321" w:rsidRDefault="00407321" w:rsidP="00407321">
      <w:pPr>
        <w:spacing w:before="100" w:beforeAutospacing="1" w:after="100" w:afterAutospacing="1" w:line="273" w:lineRule="atLeast"/>
        <w:jc w:val="center"/>
        <w:rPr>
          <w:rFonts w:ascii="Arial" w:hAnsi="Arial" w:cs="Arial"/>
          <w:color w:val="000000"/>
        </w:rPr>
      </w:pPr>
      <w:r w:rsidRPr="00407321">
        <w:rPr>
          <w:rFonts w:ascii="Arial" w:hAnsi="Arial" w:cs="Arial"/>
          <w:b/>
          <w:bCs/>
          <w:color w:val="000000"/>
        </w:rPr>
        <w:t>Compartimentul Relații externe, relații cu presa şi protocol al Curții Constituționale</w:t>
      </w:r>
    </w:p>
    <w:p w14:paraId="7EFBB62D" w14:textId="77777777" w:rsidR="00407321" w:rsidRPr="00407321" w:rsidRDefault="00407321" w:rsidP="00407321">
      <w:pPr>
        <w:rPr>
          <w:rFonts w:ascii="Times New Roman" w:eastAsia="Times New Roman" w:hAnsi="Times New Roman" w:cs="Times New Roman"/>
        </w:rPr>
      </w:pPr>
    </w:p>
    <w:p w14:paraId="1988C7DF" w14:textId="77777777" w:rsidR="009D5DA2" w:rsidRDefault="00407321">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21"/>
    <w:rsid w:val="00316E4E"/>
    <w:rsid w:val="00407321"/>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0B2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0732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321"/>
    <w:rPr>
      <w:rFonts w:ascii="Times New Roman" w:hAnsi="Times New Roman" w:cs="Times New Roman"/>
      <w:b/>
      <w:bCs/>
      <w:kern w:val="36"/>
      <w:sz w:val="48"/>
      <w:szCs w:val="48"/>
    </w:rPr>
  </w:style>
  <w:style w:type="character" w:customStyle="1" w:styleId="date1">
    <w:name w:val="date1"/>
    <w:basedOn w:val="DefaultParagraphFont"/>
    <w:rsid w:val="00407321"/>
  </w:style>
  <w:style w:type="paragraph" w:styleId="NormalWeb">
    <w:name w:val="Normal (Web)"/>
    <w:basedOn w:val="Normal"/>
    <w:uiPriority w:val="99"/>
    <w:semiHidden/>
    <w:unhideWhenUsed/>
    <w:rsid w:val="0040732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07321"/>
    <w:rPr>
      <w:b/>
      <w:bCs/>
    </w:rPr>
  </w:style>
  <w:style w:type="character" w:customStyle="1" w:styleId="apple-converted-space">
    <w:name w:val="apple-converted-space"/>
    <w:basedOn w:val="DefaultParagraphFont"/>
    <w:rsid w:val="0040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9045">
      <w:bodyDiv w:val="1"/>
      <w:marLeft w:val="0"/>
      <w:marRight w:val="0"/>
      <w:marTop w:val="0"/>
      <w:marBottom w:val="0"/>
      <w:divBdr>
        <w:top w:val="none" w:sz="0" w:space="0" w:color="auto"/>
        <w:left w:val="none" w:sz="0" w:space="0" w:color="auto"/>
        <w:bottom w:val="none" w:sz="0" w:space="0" w:color="auto"/>
        <w:right w:val="none" w:sz="0" w:space="0" w:color="auto"/>
      </w:divBdr>
      <w:divsChild>
        <w:div w:id="1998067448">
          <w:marLeft w:val="150"/>
          <w:marRight w:val="150"/>
          <w:marTop w:val="45"/>
          <w:marBottom w:val="75"/>
          <w:divBdr>
            <w:top w:val="none" w:sz="0" w:space="0" w:color="auto"/>
            <w:left w:val="none" w:sz="0" w:space="0" w:color="auto"/>
            <w:bottom w:val="none" w:sz="0" w:space="0" w:color="auto"/>
            <w:right w:val="none" w:sz="0" w:space="0" w:color="auto"/>
          </w:divBdr>
        </w:div>
        <w:div w:id="1266960739">
          <w:marLeft w:val="0"/>
          <w:marRight w:val="0"/>
          <w:marTop w:val="0"/>
          <w:marBottom w:val="0"/>
          <w:divBdr>
            <w:top w:val="none" w:sz="0" w:space="0" w:color="auto"/>
            <w:left w:val="none" w:sz="0" w:space="0" w:color="auto"/>
            <w:bottom w:val="none" w:sz="0" w:space="0" w:color="auto"/>
            <w:right w:val="none" w:sz="0" w:space="0" w:color="auto"/>
          </w:divBdr>
          <w:divsChild>
            <w:div w:id="627322400">
              <w:marLeft w:val="0"/>
              <w:marRight w:val="0"/>
              <w:marTop w:val="0"/>
              <w:marBottom w:val="0"/>
              <w:divBdr>
                <w:top w:val="none" w:sz="0" w:space="0" w:color="auto"/>
                <w:left w:val="none" w:sz="0" w:space="0" w:color="auto"/>
                <w:bottom w:val="none" w:sz="0" w:space="0" w:color="auto"/>
                <w:right w:val="none" w:sz="0" w:space="0" w:color="auto"/>
              </w:divBdr>
            </w:div>
            <w:div w:id="205024282">
              <w:marLeft w:val="0"/>
              <w:marRight w:val="0"/>
              <w:marTop w:val="0"/>
              <w:marBottom w:val="0"/>
              <w:divBdr>
                <w:top w:val="none" w:sz="0" w:space="0" w:color="auto"/>
                <w:left w:val="none" w:sz="0" w:space="0" w:color="auto"/>
                <w:bottom w:val="none" w:sz="0" w:space="0" w:color="auto"/>
                <w:right w:val="none" w:sz="0" w:space="0" w:color="auto"/>
              </w:divBdr>
            </w:div>
            <w:div w:id="10017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Macintosh Word</Application>
  <DocSecurity>0</DocSecurity>
  <Lines>31</Lines>
  <Paragraphs>8</Paragraphs>
  <ScaleCrop>false</ScaleCrop>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2018-12-19T17:25:00Z</dcterms:created>
  <dcterms:modified xsi:type="dcterms:W3CDTF">2018-12-19T17:25:00Z</dcterms:modified>
</cp:coreProperties>
</file>