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76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
        <w:gridCol w:w="12759"/>
      </w:tblGrid>
      <w:tr w:rsidR="00381851" w14:paraId="75A2AA99" w14:textId="77777777">
        <w:tblPrEx>
          <w:tblCellMar>
            <w:top w:w="0" w:type="dxa"/>
            <w:left w:w="0" w:type="dxa"/>
            <w:bottom w:w="0" w:type="dxa"/>
            <w:right w:w="0" w:type="dxa"/>
          </w:tblCellMar>
        </w:tblPrEx>
        <w:tc>
          <w:tcPr>
            <w:tcW w:w="12760" w:type="dxa"/>
            <w:hMerge w:val="restart"/>
            <w:tcBorders>
              <w:top w:val="nil"/>
              <w:left w:val="nil"/>
              <w:bottom w:val="nil"/>
              <w:right w:val="nil"/>
            </w:tcBorders>
            <w:shd w:val="clear" w:color="auto" w:fill="FFFFFF"/>
            <w:vAlign w:val="center"/>
          </w:tcPr>
          <w:p w14:paraId="6BCF482A" w14:textId="77777777" w:rsidR="00381851" w:rsidRDefault="00381851">
            <w:pPr>
              <w:widowControl w:val="0"/>
              <w:autoSpaceDE w:val="0"/>
              <w:autoSpaceDN w:val="0"/>
              <w:adjustRightInd w:val="0"/>
              <w:rPr>
                <w:rFonts w:ascii="Arial" w:hAnsi="Arial" w:cs="Arial"/>
                <w:b/>
                <w:bCs/>
                <w:color w:val="0B2B32"/>
                <w:sz w:val="33"/>
                <w:szCs w:val="33"/>
              </w:rPr>
            </w:pPr>
            <w:r>
              <w:rPr>
                <w:rFonts w:ascii="Arial" w:hAnsi="Arial" w:cs="Arial"/>
                <w:b/>
                <w:bCs/>
                <w:color w:val="0B2B32"/>
                <w:sz w:val="33"/>
                <w:szCs w:val="33"/>
              </w:rPr>
              <w:t>Consiliul de Mediere susţine modificarea Codului Muncii în sensul în care şi mediatorilor să le fie recunoscută calitatea de conciliator pentru stingerea conflictelor de muncă</w:t>
            </w:r>
          </w:p>
          <w:p w14:paraId="0A1071F7" w14:textId="77777777" w:rsidR="00381851" w:rsidRDefault="00381851">
            <w:pPr>
              <w:widowControl w:val="0"/>
              <w:autoSpaceDE w:val="0"/>
              <w:autoSpaceDN w:val="0"/>
              <w:adjustRightInd w:val="0"/>
              <w:rPr>
                <w:rFonts w:ascii="Arial" w:hAnsi="Arial" w:cs="Arial"/>
                <w:b/>
                <w:bCs/>
                <w:color w:val="0B2B32"/>
                <w:sz w:val="18"/>
                <w:szCs w:val="18"/>
              </w:rPr>
            </w:pPr>
            <w:r>
              <w:rPr>
                <w:rFonts w:ascii="Arial" w:hAnsi="Arial" w:cs="Arial"/>
                <w:b/>
                <w:bCs/>
                <w:color w:val="0B2B32"/>
                <w:sz w:val="18"/>
                <w:szCs w:val="18"/>
              </w:rPr>
              <w:t xml:space="preserve">[ Data ultimei modificări: </w:t>
            </w:r>
            <w:proofErr w:type="gramStart"/>
            <w:r>
              <w:rPr>
                <w:rFonts w:ascii="Arial" w:hAnsi="Arial" w:cs="Arial"/>
                <w:b/>
                <w:bCs/>
                <w:color w:val="0B2B32"/>
                <w:sz w:val="18"/>
                <w:szCs w:val="18"/>
              </w:rPr>
              <w:t>21.05.2019 ]</w:t>
            </w:r>
            <w:proofErr w:type="gramEnd"/>
          </w:p>
          <w:p w14:paraId="33F0CA34" w14:textId="77777777" w:rsidR="00381851" w:rsidRDefault="00381851">
            <w:pPr>
              <w:widowControl w:val="0"/>
              <w:autoSpaceDE w:val="0"/>
              <w:autoSpaceDN w:val="0"/>
              <w:adjustRightInd w:val="0"/>
              <w:jc w:val="both"/>
              <w:rPr>
                <w:rFonts w:ascii="Arial" w:hAnsi="Arial" w:cs="Arial"/>
                <w:color w:val="0B2B32"/>
                <w:sz w:val="22"/>
                <w:szCs w:val="22"/>
              </w:rPr>
            </w:pPr>
            <w:r>
              <w:rPr>
                <w:rFonts w:ascii="Arial" w:hAnsi="Arial" w:cs="Arial"/>
                <w:i/>
                <w:iCs/>
                <w:color w:val="0B2B32"/>
                <w:sz w:val="22"/>
                <w:szCs w:val="22"/>
              </w:rPr>
              <w:t>Stimaţi colegi,</w:t>
            </w:r>
          </w:p>
          <w:p w14:paraId="3789EC95" w14:textId="77777777" w:rsidR="00381851" w:rsidRDefault="00381851">
            <w:pPr>
              <w:widowControl w:val="0"/>
              <w:autoSpaceDE w:val="0"/>
              <w:autoSpaceDN w:val="0"/>
              <w:adjustRightInd w:val="0"/>
              <w:jc w:val="both"/>
              <w:rPr>
                <w:rFonts w:ascii="Arial" w:hAnsi="Arial" w:cs="Arial"/>
                <w:color w:val="0B2B32"/>
                <w:sz w:val="22"/>
                <w:szCs w:val="22"/>
              </w:rPr>
            </w:pPr>
            <w:r>
              <w:rPr>
                <w:rFonts w:ascii="Arial" w:hAnsi="Arial" w:cs="Arial"/>
                <w:color w:val="0B2B32"/>
                <w:sz w:val="22"/>
                <w:szCs w:val="22"/>
              </w:rPr>
              <w:t xml:space="preserve">Având în vederea faptul că, Legea 53/2003 privind Codul Muncii, republicată, cu modificările şi completările ulterioare nu conţine prevederi privind soluţionarea amiabilă a conflictelor individuale de muncă, lăsând ca acestea să fie soluţionate de către instanţele de judecată, îndepărtând, astfel, relaţiile de muncă de la principiul consensualităţii şi al bunei credinţe, </w:t>
            </w:r>
            <w:r>
              <w:rPr>
                <w:rFonts w:ascii="Arial" w:hAnsi="Arial" w:cs="Arial"/>
                <w:b/>
                <w:bCs/>
                <w:color w:val="0B2B32"/>
                <w:sz w:val="22"/>
                <w:szCs w:val="22"/>
              </w:rPr>
              <w:t>Consiliul de Mediere a depus toate diligenţele în vederea</w:t>
            </w:r>
            <w:r>
              <w:rPr>
                <w:rFonts w:ascii="Arial" w:hAnsi="Arial" w:cs="Arial"/>
                <w:color w:val="0B2B32"/>
                <w:sz w:val="22"/>
                <w:szCs w:val="22"/>
              </w:rPr>
              <w:t xml:space="preserve"> </w:t>
            </w:r>
            <w:r>
              <w:rPr>
                <w:rFonts w:ascii="Arial" w:hAnsi="Arial" w:cs="Arial"/>
                <w:b/>
                <w:bCs/>
                <w:color w:val="0B2B32"/>
                <w:sz w:val="22"/>
                <w:szCs w:val="22"/>
              </w:rPr>
              <w:t>recunoşterii calităţii de conciliator şi mediatorilor specializaţi în legislaţia muncii, prevederi cuprinse în Proiectul de Lege pentru modificarea şi completarea Legii nr. 53/2003 - Codul Muncii, republicată, cu modificările şi completările ulterioare.</w:t>
            </w:r>
          </w:p>
          <w:p w14:paraId="4145D2BE" w14:textId="77777777" w:rsidR="00381851" w:rsidRDefault="00381851">
            <w:pPr>
              <w:widowControl w:val="0"/>
              <w:autoSpaceDE w:val="0"/>
              <w:autoSpaceDN w:val="0"/>
              <w:adjustRightInd w:val="0"/>
              <w:jc w:val="both"/>
              <w:rPr>
                <w:rFonts w:ascii="Arial" w:hAnsi="Arial" w:cs="Arial"/>
                <w:color w:val="0B2B32"/>
                <w:sz w:val="22"/>
                <w:szCs w:val="22"/>
              </w:rPr>
            </w:pPr>
            <w:r>
              <w:rPr>
                <w:rFonts w:ascii="Arial" w:hAnsi="Arial" w:cs="Arial"/>
                <w:color w:val="0B2B32"/>
                <w:sz w:val="22"/>
                <w:szCs w:val="22"/>
              </w:rPr>
              <w:t xml:space="preserve">Astfel, în forma Proiectului de Lege depus la Senat, în cuprinsul art 232 se introduce alin. (4), care </w:t>
            </w:r>
            <w:proofErr w:type="gramStart"/>
            <w:r>
              <w:rPr>
                <w:rFonts w:ascii="Arial" w:hAnsi="Arial" w:cs="Arial"/>
                <w:color w:val="0B2B32"/>
                <w:sz w:val="22"/>
                <w:szCs w:val="22"/>
              </w:rPr>
              <w:t>are</w:t>
            </w:r>
            <w:proofErr w:type="gramEnd"/>
            <w:r>
              <w:rPr>
                <w:rFonts w:ascii="Arial" w:hAnsi="Arial" w:cs="Arial"/>
                <w:color w:val="0B2B32"/>
                <w:sz w:val="22"/>
                <w:szCs w:val="22"/>
              </w:rPr>
              <w:t xml:space="preserve"> următorul cuprins:</w:t>
            </w:r>
          </w:p>
          <w:p w14:paraId="2EB288DC" w14:textId="77777777" w:rsidR="00381851" w:rsidRDefault="00381851">
            <w:pPr>
              <w:widowControl w:val="0"/>
              <w:autoSpaceDE w:val="0"/>
              <w:autoSpaceDN w:val="0"/>
              <w:adjustRightInd w:val="0"/>
              <w:rPr>
                <w:rFonts w:ascii="Arial" w:hAnsi="Arial" w:cs="Arial"/>
                <w:color w:val="0B2B32"/>
                <w:sz w:val="22"/>
                <w:szCs w:val="22"/>
              </w:rPr>
            </w:pPr>
            <w:r>
              <w:rPr>
                <w:rFonts w:ascii="Arial" w:hAnsi="Arial" w:cs="Arial"/>
                <w:b/>
                <w:bCs/>
                <w:i/>
                <w:iCs/>
                <w:color w:val="0B2B32"/>
                <w:sz w:val="22"/>
                <w:szCs w:val="22"/>
              </w:rPr>
              <w:t>“Conciliator poate fi</w:t>
            </w:r>
            <w:r>
              <w:rPr>
                <w:rFonts w:ascii="Arial" w:hAnsi="Arial" w:cs="Arial"/>
                <w:i/>
                <w:iCs/>
                <w:color w:val="0B2B32"/>
                <w:sz w:val="22"/>
                <w:szCs w:val="22"/>
              </w:rPr>
              <w:t xml:space="preserve"> un avocat, un expert în legislaţia </w:t>
            </w:r>
            <w:proofErr w:type="gramStart"/>
            <w:r>
              <w:rPr>
                <w:rFonts w:ascii="Arial" w:hAnsi="Arial" w:cs="Arial"/>
                <w:i/>
                <w:iCs/>
                <w:color w:val="0B2B32"/>
                <w:sz w:val="22"/>
                <w:szCs w:val="22"/>
              </w:rPr>
              <w:t>muncii  sau</w:t>
            </w:r>
            <w:proofErr w:type="gramEnd"/>
            <w:r>
              <w:rPr>
                <w:rFonts w:ascii="Arial" w:hAnsi="Arial" w:cs="Arial"/>
                <w:i/>
                <w:iCs/>
                <w:color w:val="0B2B32"/>
                <w:sz w:val="22"/>
                <w:szCs w:val="22"/>
              </w:rPr>
              <w:t xml:space="preserve">, după caz, </w:t>
            </w:r>
            <w:r>
              <w:rPr>
                <w:rFonts w:ascii="Arial" w:hAnsi="Arial" w:cs="Arial"/>
                <w:b/>
                <w:bCs/>
                <w:i/>
                <w:iCs/>
                <w:color w:val="0B2B32"/>
                <w:sz w:val="22"/>
                <w:szCs w:val="22"/>
              </w:rPr>
              <w:t xml:space="preserve">un mediator specializat în legislaţia muncii, care prin rolul său activ propune soluţii legale şi va stărui ca părţile să acţioneze responsabil pentru stingerea conflictului, cu respectarea drepturilor salariaţilor recunoscute de lege sau stabilite prin contractele colective de muncă. Toate costurile generate de </w:t>
            </w:r>
            <w:proofErr w:type="gramStart"/>
            <w:r>
              <w:rPr>
                <w:rFonts w:ascii="Arial" w:hAnsi="Arial" w:cs="Arial"/>
                <w:b/>
                <w:bCs/>
                <w:i/>
                <w:iCs/>
                <w:color w:val="0B2B32"/>
                <w:sz w:val="22"/>
                <w:szCs w:val="22"/>
              </w:rPr>
              <w:t>conciliere  sunt</w:t>
            </w:r>
            <w:proofErr w:type="gramEnd"/>
            <w:r>
              <w:rPr>
                <w:rFonts w:ascii="Arial" w:hAnsi="Arial" w:cs="Arial"/>
                <w:b/>
                <w:bCs/>
                <w:i/>
                <w:iCs/>
                <w:color w:val="0B2B32"/>
                <w:sz w:val="22"/>
                <w:szCs w:val="22"/>
              </w:rPr>
              <w:t xml:space="preserve"> în sarcina angajatorului”.</w:t>
            </w:r>
          </w:p>
          <w:p w14:paraId="12391E7D" w14:textId="77777777" w:rsidR="00381851" w:rsidRDefault="00381851">
            <w:pPr>
              <w:widowControl w:val="0"/>
              <w:autoSpaceDE w:val="0"/>
              <w:autoSpaceDN w:val="0"/>
              <w:adjustRightInd w:val="0"/>
              <w:jc w:val="both"/>
              <w:rPr>
                <w:rFonts w:ascii="Arial" w:hAnsi="Arial" w:cs="Arial"/>
                <w:color w:val="0B2B32"/>
                <w:sz w:val="22"/>
                <w:szCs w:val="22"/>
              </w:rPr>
            </w:pPr>
            <w:r>
              <w:rPr>
                <w:rFonts w:ascii="Arial" w:hAnsi="Arial" w:cs="Arial"/>
                <w:b/>
                <w:bCs/>
                <w:color w:val="0B2B32"/>
                <w:sz w:val="22"/>
                <w:szCs w:val="22"/>
              </w:rPr>
              <w:t>Mihai Iulian MUNTEANU</w:t>
            </w:r>
          </w:p>
          <w:p w14:paraId="34536E96" w14:textId="77777777" w:rsidR="00381851" w:rsidRDefault="00381851">
            <w:pPr>
              <w:widowControl w:val="0"/>
              <w:autoSpaceDE w:val="0"/>
              <w:autoSpaceDN w:val="0"/>
              <w:adjustRightInd w:val="0"/>
              <w:jc w:val="both"/>
              <w:rPr>
                <w:rFonts w:ascii="Arial" w:hAnsi="Arial" w:cs="Arial"/>
                <w:color w:val="0B2B32"/>
                <w:sz w:val="22"/>
                <w:szCs w:val="22"/>
              </w:rPr>
            </w:pPr>
            <w:r>
              <w:rPr>
                <w:rFonts w:ascii="Arial" w:hAnsi="Arial" w:cs="Arial"/>
                <w:b/>
                <w:bCs/>
                <w:color w:val="0B2B32"/>
                <w:sz w:val="22"/>
                <w:szCs w:val="22"/>
              </w:rPr>
              <w:t>Preşedinte</w:t>
            </w:r>
          </w:p>
        </w:tc>
        <w:tc>
          <w:tcPr>
            <w:tcW w:w="12760" w:type="dxa"/>
            <w:hMerge/>
            <w:tcBorders>
              <w:top w:val="nil"/>
              <w:left w:val="nil"/>
              <w:bottom w:val="nil"/>
              <w:right w:val="nil"/>
            </w:tcBorders>
            <w:shd w:val="clear" w:color="auto" w:fill="FFFFFF"/>
            <w:vAlign w:val="center"/>
          </w:tcPr>
          <w:p w14:paraId="7FC64DC6" w14:textId="77777777" w:rsidR="00381851" w:rsidRDefault="00381851">
            <w:pPr>
              <w:widowControl w:val="0"/>
              <w:autoSpaceDE w:val="0"/>
              <w:autoSpaceDN w:val="0"/>
              <w:adjustRightInd w:val="0"/>
              <w:rPr>
                <w:rFonts w:ascii="Arial" w:hAnsi="Arial" w:cs="Arial"/>
                <w:color w:val="0B2B32"/>
                <w:sz w:val="22"/>
                <w:szCs w:val="22"/>
              </w:rPr>
            </w:pPr>
          </w:p>
        </w:tc>
      </w:tr>
      <w:tr w:rsidR="00381851" w14:paraId="5728C403" w14:textId="77777777">
        <w:tblPrEx>
          <w:tblCellMar>
            <w:top w:w="0" w:type="dxa"/>
            <w:left w:w="0" w:type="dxa"/>
            <w:bottom w:w="0" w:type="dxa"/>
            <w:right w:w="0" w:type="dxa"/>
          </w:tblCellMar>
        </w:tblPrEx>
        <w:tc>
          <w:tcPr>
            <w:tcW w:w="12760" w:type="dxa"/>
            <w:hMerge w:val="restart"/>
            <w:tcBorders>
              <w:top w:val="nil"/>
              <w:left w:val="nil"/>
              <w:bottom w:val="nil"/>
              <w:right w:val="nil"/>
            </w:tcBorders>
            <w:shd w:val="clear" w:color="auto" w:fill="FFFFFF"/>
            <w:vAlign w:val="center"/>
          </w:tcPr>
          <w:p w14:paraId="7C77B194" w14:textId="77777777" w:rsidR="00381851" w:rsidRDefault="00381851">
            <w:pPr>
              <w:widowControl w:val="0"/>
              <w:autoSpaceDE w:val="0"/>
              <w:autoSpaceDN w:val="0"/>
              <w:adjustRightInd w:val="0"/>
              <w:rPr>
                <w:rFonts w:ascii="Arial" w:hAnsi="Arial" w:cs="Arial"/>
                <w:color w:val="0B2B32"/>
                <w:sz w:val="22"/>
                <w:szCs w:val="22"/>
              </w:rPr>
            </w:pPr>
            <w:r>
              <w:rPr>
                <w:rFonts w:ascii="Arial" w:hAnsi="Arial" w:cs="Arial"/>
                <w:noProof/>
                <w:color w:val="0B2B32"/>
                <w:sz w:val="22"/>
                <w:szCs w:val="22"/>
              </w:rPr>
              <w:drawing>
                <wp:inline distT="0" distB="0" distL="0" distR="0" wp14:anchorId="6ABCA0DB" wp14:editId="6173D91C">
                  <wp:extent cx="8101330" cy="111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1330" cy="111125"/>
                          </a:xfrm>
                          <a:prstGeom prst="rect">
                            <a:avLst/>
                          </a:prstGeom>
                          <a:noFill/>
                          <a:ln>
                            <a:noFill/>
                          </a:ln>
                        </pic:spPr>
                      </pic:pic>
                    </a:graphicData>
                  </a:graphic>
                </wp:inline>
              </w:drawing>
            </w:r>
          </w:p>
        </w:tc>
        <w:tc>
          <w:tcPr>
            <w:tcW w:w="12760" w:type="dxa"/>
            <w:hMerge/>
            <w:tcBorders>
              <w:top w:val="nil"/>
              <w:left w:val="nil"/>
              <w:bottom w:val="nil"/>
              <w:right w:val="nil"/>
            </w:tcBorders>
            <w:shd w:val="clear" w:color="auto" w:fill="FFFFFF"/>
            <w:vAlign w:val="center"/>
          </w:tcPr>
          <w:p w14:paraId="16E480AA" w14:textId="77777777" w:rsidR="00381851" w:rsidRDefault="00381851">
            <w:pPr>
              <w:widowControl w:val="0"/>
              <w:autoSpaceDE w:val="0"/>
              <w:autoSpaceDN w:val="0"/>
              <w:adjustRightInd w:val="0"/>
              <w:rPr>
                <w:rFonts w:ascii="Arial" w:hAnsi="Arial" w:cs="Arial"/>
                <w:color w:val="0B2B32"/>
                <w:sz w:val="22"/>
                <w:szCs w:val="22"/>
              </w:rPr>
            </w:pPr>
          </w:p>
        </w:tc>
      </w:tr>
    </w:tbl>
    <w:p w14:paraId="5462BB69" w14:textId="77777777" w:rsidR="009D5DA2" w:rsidRDefault="00381851">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51"/>
    <w:rsid w:val="00316E4E"/>
    <w:rsid w:val="00381851"/>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C31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Macintosh Word</Application>
  <DocSecurity>0</DocSecurity>
  <Lines>10</Lines>
  <Paragraphs>3</Paragraphs>
  <ScaleCrop>false</ScaleCrop>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2019-05-22T04:52:00Z</dcterms:created>
  <dcterms:modified xsi:type="dcterms:W3CDTF">2019-05-22T04:52:00Z</dcterms:modified>
</cp:coreProperties>
</file>