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84063" w14:textId="77777777" w:rsidR="00EA6F91" w:rsidRDefault="00EA6F91" w:rsidP="00EA6F91">
      <w:pPr>
        <w:widowControl w:val="0"/>
        <w:autoSpaceDE w:val="0"/>
        <w:autoSpaceDN w:val="0"/>
        <w:adjustRightInd w:val="0"/>
        <w:rPr>
          <w:rFonts w:ascii="PT Sans" w:hAnsi="PT Sans" w:cs="PT Sans"/>
          <w:b/>
          <w:bCs/>
          <w:color w:val="151B2C"/>
          <w:sz w:val="64"/>
          <w:szCs w:val="64"/>
        </w:rPr>
      </w:pPr>
      <w:r>
        <w:rPr>
          <w:rFonts w:ascii="PT Sans" w:hAnsi="PT Sans" w:cs="PT Sans"/>
          <w:b/>
          <w:bCs/>
          <w:color w:val="151B2C"/>
          <w:sz w:val="64"/>
          <w:szCs w:val="64"/>
        </w:rPr>
        <w:t>Danish DPA set to fine furniture company</w:t>
      </w:r>
    </w:p>
    <w:p w14:paraId="42FAEDC8" w14:textId="77777777" w:rsidR="00EA6F91" w:rsidRDefault="00EA6F91" w:rsidP="00EA6F91">
      <w:pPr>
        <w:widowControl w:val="0"/>
        <w:autoSpaceDE w:val="0"/>
        <w:autoSpaceDN w:val="0"/>
        <w:adjustRightInd w:val="0"/>
        <w:rPr>
          <w:rFonts w:ascii="PT Sans" w:hAnsi="PT Sans" w:cs="PT Sans"/>
          <w:color w:val="151B2C"/>
          <w:sz w:val="30"/>
          <w:szCs w:val="30"/>
        </w:rPr>
      </w:pPr>
    </w:p>
    <w:p w14:paraId="2F80E700" w14:textId="77777777" w:rsidR="00EA6F91" w:rsidRDefault="00EA6F91" w:rsidP="00EA6F91">
      <w:pPr>
        <w:widowControl w:val="0"/>
        <w:autoSpaceDE w:val="0"/>
        <w:autoSpaceDN w:val="0"/>
        <w:adjustRightInd w:val="0"/>
        <w:rPr>
          <w:rFonts w:ascii="PT Sans" w:hAnsi="PT Sans" w:cs="PT Sans"/>
          <w:color w:val="151B2C"/>
          <w:sz w:val="30"/>
          <w:szCs w:val="30"/>
        </w:rPr>
      </w:pPr>
    </w:p>
    <w:p w14:paraId="7F2AC091" w14:textId="77777777" w:rsidR="00EA6F91" w:rsidRDefault="00EA6F91" w:rsidP="00EA6F91">
      <w:pPr>
        <w:widowControl w:val="0"/>
        <w:autoSpaceDE w:val="0"/>
        <w:autoSpaceDN w:val="0"/>
        <w:adjustRightInd w:val="0"/>
        <w:rPr>
          <w:rFonts w:ascii="PT Sans" w:hAnsi="PT Sans" w:cs="PT Sans"/>
          <w:color w:val="151B2C"/>
          <w:sz w:val="30"/>
          <w:szCs w:val="30"/>
        </w:rPr>
      </w:pPr>
      <w:r>
        <w:rPr>
          <w:rFonts w:ascii="PT Sans" w:hAnsi="PT Sans" w:cs="PT Sans"/>
          <w:noProof/>
          <w:color w:val="151B2C"/>
          <w:sz w:val="30"/>
          <w:szCs w:val="30"/>
        </w:rPr>
        <w:drawing>
          <wp:inline distT="0" distB="0" distL="0" distR="0" wp14:anchorId="32CDF56F" wp14:editId="224D6E7B">
            <wp:extent cx="6349365" cy="63493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49365" cy="6349365"/>
                    </a:xfrm>
                    <a:prstGeom prst="rect">
                      <a:avLst/>
                    </a:prstGeom>
                    <a:noFill/>
                    <a:ln>
                      <a:noFill/>
                    </a:ln>
                  </pic:spPr>
                </pic:pic>
              </a:graphicData>
            </a:graphic>
          </wp:inline>
        </w:drawing>
      </w:r>
    </w:p>
    <w:p w14:paraId="262A6527" w14:textId="77777777" w:rsidR="00EA6F91" w:rsidRDefault="00EA6F91" w:rsidP="00EA6F91">
      <w:pPr>
        <w:widowControl w:val="0"/>
        <w:autoSpaceDE w:val="0"/>
        <w:autoSpaceDN w:val="0"/>
        <w:adjustRightInd w:val="0"/>
        <w:rPr>
          <w:rFonts w:ascii="PT Sans" w:hAnsi="PT Sans" w:cs="PT Sans"/>
          <w:color w:val="151B2C"/>
          <w:sz w:val="30"/>
          <w:szCs w:val="30"/>
        </w:rPr>
      </w:pPr>
      <w:r>
        <w:rPr>
          <w:rFonts w:ascii="PT Sans" w:hAnsi="PT Sans" w:cs="PT Sans"/>
          <w:i/>
          <w:iCs/>
          <w:color w:val="A1A5AD"/>
          <w:sz w:val="26"/>
          <w:szCs w:val="26"/>
        </w:rPr>
        <w:t>Tuesday, 11 June, 2019</w:t>
      </w:r>
    </w:p>
    <w:p w14:paraId="437740FD" w14:textId="77777777" w:rsidR="00EA6F91" w:rsidRDefault="00EA6F91" w:rsidP="00EA6F91">
      <w:pPr>
        <w:widowControl w:val="0"/>
        <w:autoSpaceDE w:val="0"/>
        <w:autoSpaceDN w:val="0"/>
        <w:adjustRightInd w:val="0"/>
        <w:rPr>
          <w:rFonts w:ascii="PT Sans" w:hAnsi="PT Sans" w:cs="PT Sans"/>
          <w:color w:val="151B2C"/>
          <w:sz w:val="30"/>
          <w:szCs w:val="30"/>
        </w:rPr>
      </w:pPr>
      <w:r>
        <w:rPr>
          <w:rFonts w:ascii="PT Sans" w:hAnsi="PT Sans" w:cs="PT Sans"/>
          <w:color w:val="FFFFFF"/>
          <w:sz w:val="25"/>
          <w:szCs w:val="25"/>
        </w:rPr>
        <w:t>DK</w:t>
      </w:r>
    </w:p>
    <w:p w14:paraId="5105101D" w14:textId="77777777" w:rsidR="00EA6F91" w:rsidRDefault="00EA6F91" w:rsidP="00EA6F91">
      <w:pPr>
        <w:widowControl w:val="0"/>
        <w:autoSpaceDE w:val="0"/>
        <w:autoSpaceDN w:val="0"/>
        <w:adjustRightInd w:val="0"/>
        <w:rPr>
          <w:rFonts w:ascii="PT Sans" w:hAnsi="PT Sans" w:cs="PT Sans"/>
          <w:color w:val="151B2C"/>
          <w:sz w:val="30"/>
          <w:szCs w:val="30"/>
        </w:rPr>
      </w:pPr>
      <w:r>
        <w:rPr>
          <w:rFonts w:ascii="PT Sans" w:hAnsi="PT Sans" w:cs="PT Sans"/>
          <w:color w:val="151B2C"/>
          <w:sz w:val="30"/>
          <w:szCs w:val="30"/>
        </w:rPr>
        <w:t xml:space="preserve">The Danish Data Protection Agency has reported IDDesign A/S and proposed a fine of DKK 1,5 million for failure to delete data about </w:t>
      </w:r>
      <w:r>
        <w:rPr>
          <w:rFonts w:ascii="PT Sans" w:hAnsi="PT Sans" w:cs="PT Sans"/>
          <w:color w:val="151B2C"/>
          <w:sz w:val="30"/>
          <w:szCs w:val="30"/>
        </w:rPr>
        <w:lastRenderedPageBreak/>
        <w:t>385.000 customers.</w:t>
      </w:r>
    </w:p>
    <w:p w14:paraId="4A47F915" w14:textId="77777777" w:rsidR="00EA6F91" w:rsidRDefault="00EA6F91" w:rsidP="00EA6F91">
      <w:pPr>
        <w:widowControl w:val="0"/>
        <w:autoSpaceDE w:val="0"/>
        <w:autoSpaceDN w:val="0"/>
        <w:adjustRightInd w:val="0"/>
        <w:rPr>
          <w:rFonts w:ascii="PT Sans" w:hAnsi="PT Sans" w:cs="PT Sans"/>
          <w:color w:val="151B2C"/>
          <w:sz w:val="30"/>
          <w:szCs w:val="30"/>
        </w:rPr>
      </w:pPr>
      <w:r>
        <w:rPr>
          <w:rFonts w:ascii="PT Sans" w:hAnsi="PT Sans" w:cs="PT Sans"/>
          <w:color w:val="151B2C"/>
          <w:sz w:val="30"/>
          <w:szCs w:val="30"/>
        </w:rPr>
        <w:t> </w:t>
      </w:r>
    </w:p>
    <w:p w14:paraId="462B7E95" w14:textId="77777777" w:rsidR="00EA6F91" w:rsidRDefault="00EA6F91" w:rsidP="00EA6F91">
      <w:pPr>
        <w:widowControl w:val="0"/>
        <w:autoSpaceDE w:val="0"/>
        <w:autoSpaceDN w:val="0"/>
        <w:adjustRightInd w:val="0"/>
        <w:rPr>
          <w:rFonts w:ascii="PT Sans" w:hAnsi="PT Sans" w:cs="PT Sans"/>
          <w:color w:val="151B2C"/>
          <w:sz w:val="30"/>
          <w:szCs w:val="30"/>
        </w:rPr>
      </w:pPr>
      <w:r>
        <w:rPr>
          <w:rFonts w:ascii="PT Sans" w:hAnsi="PT Sans" w:cs="PT Sans"/>
          <w:color w:val="151B2C"/>
          <w:sz w:val="30"/>
          <w:szCs w:val="30"/>
        </w:rPr>
        <w:t>In the autumn of 2018, the Danish Data Protection Agency carried out a supervisory visit to Danish furniture company IDDesign. One of the questions the visit focused on was whether the company had set deadlines for the deletion of customers’ data and whether the deadlines were complied with.</w:t>
      </w:r>
    </w:p>
    <w:p w14:paraId="0DA3FFCF" w14:textId="77777777" w:rsidR="00EA6F91" w:rsidRDefault="00EA6F91" w:rsidP="00EA6F91">
      <w:pPr>
        <w:widowControl w:val="0"/>
        <w:autoSpaceDE w:val="0"/>
        <w:autoSpaceDN w:val="0"/>
        <w:adjustRightInd w:val="0"/>
        <w:rPr>
          <w:rFonts w:ascii="PT Sans" w:hAnsi="PT Sans" w:cs="PT Sans"/>
          <w:color w:val="151B2C"/>
          <w:sz w:val="30"/>
          <w:szCs w:val="30"/>
        </w:rPr>
      </w:pPr>
      <w:r>
        <w:rPr>
          <w:rFonts w:ascii="PT Sans" w:hAnsi="PT Sans" w:cs="PT Sans"/>
          <w:color w:val="151B2C"/>
          <w:sz w:val="30"/>
          <w:szCs w:val="30"/>
        </w:rPr>
        <w:t> </w:t>
      </w:r>
    </w:p>
    <w:p w14:paraId="67996E54" w14:textId="77777777" w:rsidR="00EA6F91" w:rsidRDefault="00EA6F91" w:rsidP="00EA6F91">
      <w:pPr>
        <w:widowControl w:val="0"/>
        <w:autoSpaceDE w:val="0"/>
        <w:autoSpaceDN w:val="0"/>
        <w:adjustRightInd w:val="0"/>
        <w:rPr>
          <w:rFonts w:ascii="PT Sans" w:hAnsi="PT Sans" w:cs="PT Sans"/>
          <w:color w:val="151B2C"/>
          <w:sz w:val="30"/>
          <w:szCs w:val="30"/>
        </w:rPr>
      </w:pPr>
      <w:r>
        <w:rPr>
          <w:rFonts w:ascii="PT Sans" w:hAnsi="PT Sans" w:cs="PT Sans"/>
          <w:color w:val="151B2C"/>
          <w:sz w:val="30"/>
          <w:szCs w:val="30"/>
        </w:rPr>
        <w:t>Prior to the inspection, IDdesign had provided an overview of the systems the company uses for the processing of personal data. This overview revealed that some of the furniture stores used an older system, which had been replaced by a newer system in the other shops. In the old system information was gathered about the names, addresses, telephone numbers, e-mail addresses and purchase history of some 385.000 customers. During the inspection, IDdesign also stated that personal data in the old system had never been deleted.</w:t>
      </w:r>
    </w:p>
    <w:p w14:paraId="042A8D52" w14:textId="77777777" w:rsidR="00EA6F91" w:rsidRDefault="00EA6F91" w:rsidP="00EA6F91">
      <w:pPr>
        <w:widowControl w:val="0"/>
        <w:autoSpaceDE w:val="0"/>
        <w:autoSpaceDN w:val="0"/>
        <w:adjustRightInd w:val="0"/>
        <w:rPr>
          <w:rFonts w:ascii="PT Sans" w:hAnsi="PT Sans" w:cs="PT Sans"/>
          <w:color w:val="151B2C"/>
          <w:sz w:val="30"/>
          <w:szCs w:val="30"/>
        </w:rPr>
      </w:pPr>
      <w:r>
        <w:rPr>
          <w:rFonts w:ascii="PT Sans" w:hAnsi="PT Sans" w:cs="PT Sans"/>
          <w:color w:val="151B2C"/>
          <w:sz w:val="30"/>
          <w:szCs w:val="30"/>
        </w:rPr>
        <w:t> </w:t>
      </w:r>
    </w:p>
    <w:p w14:paraId="6F7C3F7A" w14:textId="77777777" w:rsidR="00EA6F91" w:rsidRDefault="00EA6F91" w:rsidP="00EA6F91">
      <w:pPr>
        <w:widowControl w:val="0"/>
        <w:autoSpaceDE w:val="0"/>
        <w:autoSpaceDN w:val="0"/>
        <w:adjustRightInd w:val="0"/>
        <w:rPr>
          <w:rFonts w:ascii="PT Sans" w:hAnsi="PT Sans" w:cs="PT Sans"/>
          <w:color w:val="151B2C"/>
          <w:sz w:val="30"/>
          <w:szCs w:val="30"/>
        </w:rPr>
      </w:pPr>
      <w:r>
        <w:rPr>
          <w:rFonts w:ascii="PT Sans" w:hAnsi="PT Sans" w:cs="PT Sans"/>
          <w:color w:val="151B2C"/>
          <w:sz w:val="30"/>
          <w:szCs w:val="30"/>
        </w:rPr>
        <w:t>The GDPR establishes that personal data must be stored in such a way that data subjects cannot be identified for longer than is necessary for the purposes for which the personal data are processed.</w:t>
      </w:r>
    </w:p>
    <w:p w14:paraId="0C9C3079" w14:textId="77777777" w:rsidR="00EA6F91" w:rsidRDefault="00EA6F91" w:rsidP="00EA6F91">
      <w:pPr>
        <w:widowControl w:val="0"/>
        <w:autoSpaceDE w:val="0"/>
        <w:autoSpaceDN w:val="0"/>
        <w:adjustRightInd w:val="0"/>
        <w:rPr>
          <w:rFonts w:ascii="PT Sans" w:hAnsi="PT Sans" w:cs="PT Sans"/>
          <w:color w:val="151B2C"/>
          <w:sz w:val="30"/>
          <w:szCs w:val="30"/>
        </w:rPr>
      </w:pPr>
      <w:r>
        <w:rPr>
          <w:rFonts w:ascii="PT Sans" w:hAnsi="PT Sans" w:cs="PT Sans"/>
          <w:color w:val="151B2C"/>
          <w:sz w:val="30"/>
          <w:szCs w:val="30"/>
        </w:rPr>
        <w:t> </w:t>
      </w:r>
    </w:p>
    <w:p w14:paraId="5EFC3CE4" w14:textId="77777777" w:rsidR="00EA6F91" w:rsidRDefault="00EA6F91" w:rsidP="00EA6F91">
      <w:pPr>
        <w:widowControl w:val="0"/>
        <w:autoSpaceDE w:val="0"/>
        <w:autoSpaceDN w:val="0"/>
        <w:adjustRightInd w:val="0"/>
        <w:rPr>
          <w:rFonts w:ascii="PT Sans" w:hAnsi="PT Sans" w:cs="PT Sans"/>
          <w:color w:val="151B2C"/>
          <w:sz w:val="30"/>
          <w:szCs w:val="30"/>
        </w:rPr>
      </w:pPr>
      <w:r>
        <w:rPr>
          <w:rFonts w:ascii="PT Sans" w:hAnsi="PT Sans" w:cs="PT Sans"/>
          <w:color w:val="151B2C"/>
          <w:sz w:val="30"/>
          <w:szCs w:val="30"/>
        </w:rPr>
        <w:t>IDdesign did not indicate when personal data in the old system are no longer necessary for processing purposes, and thus did not specify the deadlines applicable to erasure of the personal data processed in the system.</w:t>
      </w:r>
    </w:p>
    <w:p w14:paraId="0DB8D3BE" w14:textId="77777777" w:rsidR="00EA6F91" w:rsidRDefault="00EA6F91" w:rsidP="00EA6F91">
      <w:pPr>
        <w:widowControl w:val="0"/>
        <w:autoSpaceDE w:val="0"/>
        <w:autoSpaceDN w:val="0"/>
        <w:adjustRightInd w:val="0"/>
        <w:rPr>
          <w:rFonts w:ascii="PT Sans" w:hAnsi="PT Sans" w:cs="PT Sans"/>
          <w:color w:val="151B2C"/>
          <w:sz w:val="30"/>
          <w:szCs w:val="30"/>
        </w:rPr>
      </w:pPr>
      <w:r>
        <w:rPr>
          <w:rFonts w:ascii="PT Sans" w:hAnsi="PT Sans" w:cs="PT Sans"/>
          <w:color w:val="151B2C"/>
          <w:sz w:val="30"/>
          <w:szCs w:val="30"/>
        </w:rPr>
        <w:t> </w:t>
      </w:r>
    </w:p>
    <w:p w14:paraId="069FDC7F" w14:textId="77777777" w:rsidR="00EA6F91" w:rsidRDefault="00EA6F91" w:rsidP="00EA6F91">
      <w:pPr>
        <w:widowControl w:val="0"/>
        <w:autoSpaceDE w:val="0"/>
        <w:autoSpaceDN w:val="0"/>
        <w:adjustRightInd w:val="0"/>
        <w:rPr>
          <w:rFonts w:ascii="PT Sans" w:hAnsi="PT Sans" w:cs="PT Sans"/>
          <w:color w:val="151B2C"/>
          <w:sz w:val="30"/>
          <w:szCs w:val="30"/>
        </w:rPr>
      </w:pPr>
      <w:r>
        <w:rPr>
          <w:rFonts w:ascii="PT Sans" w:hAnsi="PT Sans" w:cs="PT Sans"/>
          <w:color w:val="151B2C"/>
          <w:sz w:val="30"/>
          <w:szCs w:val="30"/>
        </w:rPr>
        <w:t>The Data Protection Agency therefore considers that IDdesign has not complied with the data protection requirements of the data protection regulation by having processed the personal data for a longer timer than necessary.</w:t>
      </w:r>
    </w:p>
    <w:p w14:paraId="3DDA97A7" w14:textId="77777777" w:rsidR="00EA6F91" w:rsidRDefault="00EA6F91" w:rsidP="00EA6F91">
      <w:pPr>
        <w:widowControl w:val="0"/>
        <w:autoSpaceDE w:val="0"/>
        <w:autoSpaceDN w:val="0"/>
        <w:adjustRightInd w:val="0"/>
        <w:rPr>
          <w:rFonts w:ascii="PT Sans" w:hAnsi="PT Sans" w:cs="PT Sans"/>
          <w:color w:val="151B2C"/>
          <w:sz w:val="30"/>
          <w:szCs w:val="30"/>
        </w:rPr>
      </w:pPr>
      <w:r>
        <w:rPr>
          <w:rFonts w:ascii="PT Sans" w:hAnsi="PT Sans" w:cs="PT Sans"/>
          <w:color w:val="151B2C"/>
          <w:sz w:val="30"/>
          <w:szCs w:val="30"/>
        </w:rPr>
        <w:t xml:space="preserve">Read the full press release in Danish </w:t>
      </w:r>
      <w:hyperlink r:id="rId5" w:history="1">
        <w:r>
          <w:rPr>
            <w:rFonts w:ascii="PT Sans" w:hAnsi="PT Sans" w:cs="PT Sans"/>
            <w:b/>
            <w:bCs/>
            <w:color w:val="3297C9"/>
            <w:sz w:val="30"/>
            <w:szCs w:val="30"/>
          </w:rPr>
          <w:t>here</w:t>
        </w:r>
      </w:hyperlink>
    </w:p>
    <w:p w14:paraId="05F8BF42" w14:textId="77777777" w:rsidR="009D5DA2" w:rsidRDefault="00EA6F91" w:rsidP="00EA6F91">
      <w:r>
        <w:rPr>
          <w:rFonts w:ascii="PT Sans" w:hAnsi="PT Sans" w:cs="PT Sans"/>
          <w:color w:val="151B2C"/>
          <w:sz w:val="30"/>
          <w:szCs w:val="30"/>
        </w:rPr>
        <w:t xml:space="preserve">For further information, please contact the Danish DPA: </w:t>
      </w:r>
      <w:hyperlink r:id="rId6" w:history="1">
        <w:r>
          <w:rPr>
            <w:rFonts w:ascii="PT Sans" w:hAnsi="PT Sans" w:cs="PT Sans"/>
            <w:b/>
            <w:bCs/>
            <w:color w:val="3297C9"/>
            <w:sz w:val="30"/>
            <w:szCs w:val="30"/>
          </w:rPr>
          <w:t>dt@datatilsynet.dk</w:t>
        </w:r>
      </w:hyperlink>
      <w:bookmarkStart w:id="0" w:name="_GoBack"/>
      <w:bookmarkEnd w:id="0"/>
    </w:p>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PT Sans">
    <w:panose1 w:val="020B0503020203020204"/>
    <w:charset w:val="CC"/>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F91"/>
    <w:rsid w:val="00316E4E"/>
    <w:rsid w:val="004A768F"/>
    <w:rsid w:val="00EA6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2365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s://www.datatilsynet.dk/presse-og-nyheder/nyhedsarkiv/2019/jun/moebelfirma-indstillet-til-boede/" TargetMode="External"/><Relationship Id="rId6" Type="http://schemas.openxmlformats.org/officeDocument/2006/relationships/hyperlink" Target="mailto:dt@datatilsynet.d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1676</Characters>
  <Application>Microsoft Macintosh Word</Application>
  <DocSecurity>0</DocSecurity>
  <Lines>13</Lines>
  <Paragraphs>3</Paragraphs>
  <ScaleCrop>false</ScaleCrop>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2019-06-18T08:27:00Z</dcterms:created>
  <dcterms:modified xsi:type="dcterms:W3CDTF">2019-06-18T08:27:00Z</dcterms:modified>
</cp:coreProperties>
</file>