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sz w:val="28"/>
          <w:szCs w:val="28"/>
        </w:rPr>
        <mc:AlternateContent>
          <mc:Choice Requires="wpg">
            <w:drawing>
              <wp:anchor distT="28733" distB="28733" distL="28733" distR="28733" simplePos="0" relativeHeight="251659264" behindDoc="0" locked="0" layoutInCell="1" allowOverlap="1">
                <wp:simplePos x="0" y="0"/>
                <wp:positionH relativeFrom="column">
                  <wp:posOffset>30479</wp:posOffset>
                </wp:positionH>
                <wp:positionV relativeFrom="line">
                  <wp:posOffset>27304</wp:posOffset>
                </wp:positionV>
                <wp:extent cx="2249171" cy="1429386"/>
                <wp:effectExtent l="0" t="0" r="0" b="0"/>
                <wp:wrapSquare wrapText="left" distL="28733" distR="28733" distT="28733" distB="28733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171" cy="1429386"/>
                          <a:chOff x="0" y="0"/>
                          <a:chExt cx="2249170" cy="142938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249171" cy="1429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6814" t="19599" r="0" b="24565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249172" cy="14293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.4pt;margin-top:2.1pt;width:177.1pt;height:112.6pt;z-index:251659264;mso-position-horizontal:absolute;mso-position-horizontal-relative:text;mso-position-vertical:absolute;mso-position-vertical-relative:line;mso-wrap-distance-left:2.3pt;mso-wrap-distance-top:2.3pt;mso-wrap-distance-right:2.3pt;mso-wrap-distance-bottom:2.3pt;" coordorigin="0,0" coordsize="2249170,1429385">
                <w10:wrap type="square" side="left" anchorx="text"/>
                <v:rect id="_x0000_s1027" style="position:absolute;left:0;top:0;width:2249170;height:14293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249170;height:1429385;">
                  <v:imagedata r:id="rId4" o:title="image.png" cropleft="6.8%" cropright="0.0%" croptop="19.6%" cropbottom="24.6%"/>
                </v:shape>
              </v:group>
            </w:pict>
          </mc:Fallback>
        </mc:AlternateContent>
      </w:r>
    </w:p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COMUNICAT</w:t>
      </w:r>
    </w:p>
    <w:p>
      <w:pPr>
        <w:pStyle w:val="Normal.0"/>
        <w:spacing w:line="36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al Asocia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ț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iei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„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Ini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ț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iativa pentru Justi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ț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ie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”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,</w:t>
      </w:r>
    </w:p>
    <w:p>
      <w:pPr>
        <w:pStyle w:val="Normal.0"/>
        <w:spacing w:line="360" w:lineRule="auto"/>
        <w:jc w:val="center"/>
        <w:rPr>
          <w:sz w:val="28"/>
          <w:szCs w:val="28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17.06.2019</w:t>
      </w:r>
    </w:p>
    <w:p>
      <w:pPr>
        <w:pStyle w:val="Normal.0"/>
        <w:spacing w:line="360" w:lineRule="auto"/>
        <w:jc w:val="center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Asocia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Ini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iativa pentru Justi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 (AIJ), asocia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 profesional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 procurorilor, aduce la cuno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tin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a publicului urm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toarele: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Asocia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Ini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iativa pentru Justi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 militeaz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constant pentru ap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rarea valorilor statului de drept, invoc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 xml:space="preserve">nd, printre altele,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lcarea legii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regulamentului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procedura de numire a inspectorului-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ef Lucian Netejoru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solicit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 revocarea din func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de 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edinte al CSM a doamnei judec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tor Lia Savonea, pentru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ndeplinirea necorespunz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toare a atribu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iilor.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Pentru aceste motive, consider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m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cercetarea disciplinar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 doi dintre co-pre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 AIJ, procurori Bogdan Ciprian P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 xml:space="preserve">RLOG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Sorin Marian LIA, </w:t>
      </w:r>
      <w:r>
        <w:rPr>
          <w:color w:val="000000"/>
          <w:sz w:val="28"/>
          <w:szCs w:val="28"/>
          <w:u w:color="000000"/>
          <w:rtl w:val="0"/>
        </w:rPr>
        <w:t>invoc</w:t>
      </w:r>
      <w:r>
        <w:rPr>
          <w:color w:val="000000"/>
          <w:sz w:val="28"/>
          <w:szCs w:val="28"/>
          <w:u w:color="000000"/>
          <w:rtl w:val="0"/>
        </w:rPr>
        <w:t>â</w:t>
      </w:r>
      <w:r>
        <w:rPr>
          <w:color w:val="000000"/>
          <w:sz w:val="28"/>
          <w:szCs w:val="28"/>
          <w:u w:color="000000"/>
          <w:rtl w:val="0"/>
        </w:rPr>
        <w:t>ndu-se un pretext</w:t>
      </w:r>
      <w:r>
        <w:rPr>
          <w:sz w:val="28"/>
          <w:szCs w:val="28"/>
          <w:rtl w:val="0"/>
        </w:rPr>
        <w:t xml:space="preserve"> inconsistent,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circumstan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ele ar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tate, constituie o ac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iune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scop de intimidare, at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t a celor viza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i, c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 xml:space="preserve">t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a altor magistra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 care lupt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pentru ap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rarea independen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ei justi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iei, ca valoare esen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ial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 statului de drept.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Reamintim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domnul procuror Bogdan Ciprian P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RLOG este procurorul militar care 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sym w:font="Arial Unicode MS" w:char="1E"/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a sesizat din oficiu cu privire la faptele comise de jandarmi cu prilejul reprim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rii manifesta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iilor pa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nice din 10 august 2018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dup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acel moment a fost vizat de mai multe ac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iuni disciplinare exercitate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mpotriva sa.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prezent, domnul procuror Bogdan Ciprian P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RLOG este candidat la func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ia de procuror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ef al SIIJ, av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 ca obiectiv declarat stoparea activit</w:t>
      </w:r>
      <w:r>
        <w:rPr>
          <w:sz w:val="28"/>
          <w:szCs w:val="28"/>
          <w:rtl w:val="0"/>
        </w:rPr>
        <w:t>ăț</w:t>
      </w:r>
      <w:r>
        <w:rPr>
          <w:sz w:val="28"/>
          <w:szCs w:val="28"/>
          <w:rtl w:val="0"/>
        </w:rPr>
        <w:t xml:space="preserve">ii nelegale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neconstitu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ionale a SIIJ. Candidatura sa a f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cut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face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obiectul mai multor tentative de blocare din partea grup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rii din CSM al 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rei lider este doamna 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edinte Lia Savonea. Ini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ial, candidatura i-a fost respins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ca inadmisibil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, sub pretextul ne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ndeplinirii vechimii. Ultima ac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iune de blocare a candidaturii o reprezint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fixarea  interviului pentru data de 18.06.2019, dat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stabilit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cu nerespectarea termenului legal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tiind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acesta nu se va afla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 xml:space="preserve">n 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ar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.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La data de 12.06.2019, respectiv 14.06.2019, domnului procuror Bogdan Ciprian P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 xml:space="preserve">RLOG,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domnului procuror Sorin Marian LIA li s-a comunicat rezolu</w:t>
      </w:r>
      <w:r>
        <w:rPr>
          <w:sz w:val="28"/>
          <w:szCs w:val="28"/>
          <w:rtl w:val="0"/>
          <w:lang w:val="en-US"/>
        </w:rPr>
        <w:t>ț</w:t>
      </w:r>
      <w:r>
        <w:rPr>
          <w:sz w:val="28"/>
          <w:szCs w:val="28"/>
          <w:rtl w:val="0"/>
          <w:lang w:val="en-US"/>
        </w:rPr>
        <w:t xml:space="preserve">ia Inspectiei Judiciare de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nceperea cercet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rii disciplinare pentru s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irea abaterii disciplinare prev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zute de art. 99 lit. a din Legea nr. 303/2004 (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manifest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rile care aduc atingere onoarei sau probit</w:t>
      </w:r>
      <w:r>
        <w:rPr>
          <w:sz w:val="28"/>
          <w:szCs w:val="28"/>
          <w:rtl w:val="0"/>
        </w:rPr>
        <w:t>ăț</w:t>
      </w:r>
      <w:r>
        <w:rPr>
          <w:sz w:val="28"/>
          <w:szCs w:val="28"/>
          <w:rtl w:val="0"/>
        </w:rPr>
        <w:t>ii profesionale ori prestigiului justi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iei, s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ite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 xml:space="preserve">n exercitarea sau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afara exercit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rii atribu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iilor de serviciu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>).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La data de 31.05.2019, ca urmare a unei sesiz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 formulate de procurorii din cadrul Sec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iei de Investigare a Infrac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iunilor din Justi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ie (SIIJ)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data de 03.04.2019, Inspec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Judiciar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a dispus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nceperea cercet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rii disciplinare cu privire la doi dintre co-pre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 asocia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iei, locotenent-colonel procuror Bogdan Ciprian P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RLOG, prim procuror adjunct la Parchetul Militar de pe l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ng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Tribunalul Militar Bucure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ti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procuror Sorin Marian LIA, prim procuror la Parchetul de pe l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ng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Judec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toria Corabia, pentru s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irea abaterii disciplinare prev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zute de art. 99 lit. a din Legea nr. 303/2004.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Din cuprinsul rezolu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iei 1729/A/31.05.2019, rezult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 xml:space="preserve">ă  </w:t>
      </w:r>
      <w:r>
        <w:rPr>
          <w:sz w:val="28"/>
          <w:szCs w:val="28"/>
          <w:rtl w:val="0"/>
        </w:rPr>
        <w:t>Sec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de Investigare a Infrac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iunilor din Justi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 (SIIJ) ar func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iona pe baze constitu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ionale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legale,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acest sens fiind reproduse pasaje din decizia Cur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 Constitu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ionale nr. 33/2018,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SIIJ a emis un num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 de 16 comunicate de pres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prin biroul de informare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rela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 publice al Parchetul de pe l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ng</w:t>
      </w:r>
      <w:r>
        <w:rPr>
          <w:sz w:val="28"/>
          <w:szCs w:val="28"/>
          <w:rtl w:val="0"/>
        </w:rPr>
        <w:t>ă Î</w:t>
      </w:r>
      <w:r>
        <w:rPr>
          <w:sz w:val="28"/>
          <w:szCs w:val="28"/>
          <w:rtl w:val="0"/>
        </w:rPr>
        <w:t>nalta Curte de Casa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Justi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ie, pe care le enumer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, apoi sunt reproduse pasaje din pozi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exprimat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de 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tre domnul procuror Bogdan Ciprian P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RLOG cu ocazia consult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rilor organizate de 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tre 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edintele Rom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niei, aceste pasaje fiind apreciate a constitui manifest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 care aduc atingere onoarei sau probit</w:t>
      </w:r>
      <w:r>
        <w:rPr>
          <w:sz w:val="28"/>
          <w:szCs w:val="28"/>
          <w:rtl w:val="0"/>
        </w:rPr>
        <w:t>ăț</w:t>
      </w:r>
      <w:r>
        <w:rPr>
          <w:sz w:val="28"/>
          <w:szCs w:val="28"/>
          <w:rtl w:val="0"/>
        </w:rPr>
        <w:t>ii profesionale ori prestigiului justi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iei. Nu sunt expuse pasaje apar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in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 domnului procuror  Sorin Marian LIA, dar se re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ine faptul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acesta are pozi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ie comun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f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alte explica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ii. Este invocat</w:t>
      </w:r>
      <w:r>
        <w:rPr>
          <w:sz w:val="28"/>
          <w:szCs w:val="28"/>
          <w:rtl w:val="0"/>
        </w:rPr>
        <w:t>ă ș</w:t>
      </w:r>
      <w:r>
        <w:rPr>
          <w:sz w:val="28"/>
          <w:szCs w:val="28"/>
          <w:rtl w:val="0"/>
        </w:rPr>
        <w:t>i nerespectarea art. 9 alin. 2 din Codul Deontologic, care nu are nicio relevan</w:t>
      </w:r>
      <w:r>
        <w:rPr>
          <w:sz w:val="28"/>
          <w:szCs w:val="28"/>
          <w:rtl w:val="0"/>
        </w:rPr>
        <w:t>ță î</w:t>
      </w:r>
      <w:r>
        <w:rPr>
          <w:sz w:val="28"/>
          <w:szCs w:val="28"/>
          <w:rtl w:val="0"/>
        </w:rPr>
        <w:t>n cauz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, peten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 nefiind participan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cadrul vreunei proceduri judiciare desf</w:t>
      </w:r>
      <w:r>
        <w:rPr>
          <w:sz w:val="28"/>
          <w:szCs w:val="28"/>
          <w:rtl w:val="0"/>
        </w:rPr>
        <w:t>ăș</w:t>
      </w:r>
      <w:r>
        <w:rPr>
          <w:sz w:val="28"/>
          <w:szCs w:val="28"/>
          <w:rtl w:val="0"/>
        </w:rPr>
        <w:t>urate de 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tre domnul locotenent-colonel procuror Bogdan Ciprian P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RLOG, prim procuror adjunct al Parchetului Militar de pe l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ng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Tribunalul Militar Bucure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ti sau domnul procuror Sorin Marian LIA, prim procuror al Parchetului de pe l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ng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Judec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toria Corabia.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Sesizarea a fost formulat</w:t>
      </w:r>
      <w:r>
        <w:rPr>
          <w:sz w:val="28"/>
          <w:szCs w:val="28"/>
          <w:rtl w:val="0"/>
        </w:rPr>
        <w:t>ă î</w:t>
      </w:r>
      <w:r>
        <w:rPr>
          <w:sz w:val="28"/>
          <w:szCs w:val="28"/>
          <w:rtl w:val="0"/>
        </w:rPr>
        <w:t xml:space="preserve">n numele celor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ase procurori care func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ionau la data respectiv</w:t>
      </w:r>
      <w:r>
        <w:rPr>
          <w:sz w:val="28"/>
          <w:szCs w:val="28"/>
          <w:rtl w:val="0"/>
        </w:rPr>
        <w:t>ă î</w:t>
      </w:r>
      <w:r>
        <w:rPr>
          <w:sz w:val="28"/>
          <w:szCs w:val="28"/>
          <w:rtl w:val="0"/>
        </w:rPr>
        <w:t>n cadrul SIIJ, dar este semnat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doar de cinci dintre ace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tia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a fost transmis</w:t>
      </w:r>
      <w:r>
        <w:rPr>
          <w:sz w:val="28"/>
          <w:szCs w:val="28"/>
          <w:rtl w:val="0"/>
        </w:rPr>
        <w:t>ă î</w:t>
      </w:r>
      <w:r>
        <w:rPr>
          <w:sz w:val="28"/>
          <w:szCs w:val="28"/>
          <w:rtl w:val="0"/>
        </w:rPr>
        <w:t>n mod oficial de SIIJ printr-o adres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purt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 antetul institu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iei, ca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cum ar fi un act al SIIJ, nu un act al unor persoane fizice. 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Prin sesizare, se solicit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analizarea </w:t>
      </w:r>
      <w:r>
        <w:rPr>
          <w:sz w:val="28"/>
          <w:szCs w:val="28"/>
          <w:rtl w:val="0"/>
        </w:rPr>
        <w:t>„î</w:t>
      </w:r>
      <w:r>
        <w:rPr>
          <w:sz w:val="28"/>
          <w:szCs w:val="28"/>
          <w:rtl w:val="0"/>
        </w:rPr>
        <w:t>nc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lc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rii codului deontologic de 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tre domnii procurori BOGDAN P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 xml:space="preserve">RLOG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SORIN LIA, numai dac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inspectorii judiciari apreciaz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faptele nu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ntrunesc elementele constitutive ale abaterii disciplinare prev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zute la art. 99 lit. A din Legea 303/2004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>.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Din cuprinsul sesiz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rii procurorilor din cadrul SIIJ rezult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ace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tia sunt nemul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umi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 de opiniile expuse de domnii procurori Bogdan Ciprian P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 xml:space="preserve">RLOG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Sorin Marian LIA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cadrul consult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rilor cu magistra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 organizate la data de 27.03.2019 de 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edintele Rom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niei, domnul Klaus Werner Iohannis, pe tema st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rii justi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iei,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de con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inutul comunicatului emis de AIJ la data de 31.03.2019. Cu prilejul consult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rilor, cei doi co-pre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 ai AIJ au expus opinii critice cu privire la modific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rile legilor justi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iei, inclusiv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nfiin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area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func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ionarea SIIJ, au ar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tat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pozi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exprimat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este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concordan</w:t>
      </w:r>
      <w:r>
        <w:rPr>
          <w:sz w:val="28"/>
          <w:szCs w:val="28"/>
          <w:rtl w:val="0"/>
        </w:rPr>
        <w:t xml:space="preserve">ță </w:t>
      </w:r>
      <w:r>
        <w:rPr>
          <w:sz w:val="28"/>
          <w:szCs w:val="28"/>
          <w:rtl w:val="0"/>
        </w:rPr>
        <w:t>cu pozi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celor 4000 de magistra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 dintr-un total de 6800 care au solicitat respingerea modific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rilor aduse legilor justi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iei, dar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cu cea exprimat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de toate adun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rile generale ale instan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elor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parchetelor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au ar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tat necesitatea clarific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rii sintagmei constitu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ionale </w:t>
      </w:r>
      <w:r>
        <w:rPr>
          <w:i w:val="1"/>
          <w:iCs w:val="1"/>
          <w:sz w:val="28"/>
          <w:szCs w:val="28"/>
          <w:rtl w:val="0"/>
        </w:rPr>
        <w:t>„</w:t>
      </w:r>
      <w:r>
        <w:rPr>
          <w:i w:val="1"/>
          <w:iCs w:val="1"/>
          <w:sz w:val="28"/>
          <w:szCs w:val="28"/>
          <w:rtl w:val="0"/>
        </w:rPr>
        <w:t>sub autoritatea ministrului justi</w:t>
      </w:r>
      <w:r>
        <w:rPr>
          <w:i w:val="1"/>
          <w:iCs w:val="1"/>
          <w:sz w:val="28"/>
          <w:szCs w:val="28"/>
          <w:rtl w:val="0"/>
        </w:rPr>
        <w:t>ț</w:t>
      </w:r>
      <w:r>
        <w:rPr>
          <w:i w:val="1"/>
          <w:iCs w:val="1"/>
          <w:sz w:val="28"/>
          <w:szCs w:val="28"/>
          <w:rtl w:val="0"/>
        </w:rPr>
        <w:t>iei</w:t>
      </w:r>
      <w:r>
        <w:rPr>
          <w:i w:val="1"/>
          <w:iCs w:val="1"/>
          <w:sz w:val="28"/>
          <w:szCs w:val="28"/>
          <w:rtl w:val="0"/>
        </w:rPr>
        <w:t>”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 Prin comunicat s-au prezentat punctele de vedere expuse de cei doi co-pre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 ai AIJ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s-a criticat modul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 care 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edintele CSM, doamna judec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tor Lia Savonea,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elege s</w:t>
      </w:r>
      <w:r>
        <w:rPr>
          <w:sz w:val="28"/>
          <w:szCs w:val="28"/>
          <w:rtl w:val="0"/>
        </w:rPr>
        <w:t>ă îș</w:t>
      </w:r>
      <w:r>
        <w:rPr>
          <w:sz w:val="28"/>
          <w:szCs w:val="28"/>
          <w:rtl w:val="0"/>
        </w:rPr>
        <w:t>i exercite func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ia. Procurorii din cadrul SIIJ au considerat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expresiile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atitudine duplicitar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constant</w:t>
      </w:r>
      <w:r>
        <w:rPr>
          <w:sz w:val="28"/>
          <w:szCs w:val="28"/>
          <w:rtl w:val="0"/>
        </w:rPr>
        <w:t>ă”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smerit</w:t>
      </w:r>
      <w:r>
        <w:rPr>
          <w:sz w:val="28"/>
          <w:szCs w:val="28"/>
          <w:rtl w:val="0"/>
        </w:rPr>
        <w:t>ă”</w:t>
      </w:r>
      <w:r>
        <w:rPr>
          <w:sz w:val="28"/>
          <w:szCs w:val="28"/>
          <w:rtl w:val="0"/>
        </w:rPr>
        <w:t>, cu referire la 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edintele CSM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ncalc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art. 18 alin. 2 din Codul deontologic al judec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torilor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 xml:space="preserve">i procurorilor, la fel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faptul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o parte din colegii judec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tori sunt felicita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 prin comunicat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 xml:space="preserve">pentru verticalitatea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bunul-sim</w:t>
      </w:r>
      <w:r>
        <w:rPr>
          <w:sz w:val="28"/>
          <w:szCs w:val="28"/>
          <w:rtl w:val="0"/>
        </w:rPr>
        <w:t xml:space="preserve">ț </w:t>
      </w:r>
      <w:r>
        <w:rPr>
          <w:sz w:val="28"/>
          <w:szCs w:val="28"/>
          <w:rtl w:val="0"/>
        </w:rPr>
        <w:t>de care au dat dovad</w:t>
      </w:r>
      <w:r>
        <w:rPr>
          <w:sz w:val="28"/>
          <w:szCs w:val="28"/>
          <w:rtl w:val="0"/>
        </w:rPr>
        <w:t>ă”</w:t>
      </w:r>
      <w:r>
        <w:rPr>
          <w:sz w:val="28"/>
          <w:szCs w:val="28"/>
          <w:rtl w:val="0"/>
        </w:rPr>
        <w:t>.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 xml:space="preserve">n adresa SIIJ de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naintare a sesiz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 xml:space="preserve">rii se face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referire la un alt procuror, co-pre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edinte al unei alte asocia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 profesionale a magistra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ilor, solicit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 xml:space="preserve">ndu-se cercetarea sa sub aspectul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lc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rii Codului deontologic. iar nu la cei doi procurori viza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i. Pentru acest motiv, Inspec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ia Judiciar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a fost nevoit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solicite SIIJ 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clarifice cu privire la ce persoane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ce fapte solicit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se efectueze cercet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ri (rezult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 xml:space="preserve">sesizarea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i vizeaz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pe cei doi co-pre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 ai AIJ, cu privire la cel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lat co-pre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edinte al unei asocia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>ii profesionale fiind f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cut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o sesizare de c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tre SIIJ la data de 05.04.2019, av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>nd un alt obiect, anume cerere de ap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rare a independen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ei SIIJ ca urmare a opiniilor expuse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ntr-un interviu).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Din cuprinsul dosarului mai reiese c</w:t>
      </w:r>
      <w:r>
        <w:rPr>
          <w:sz w:val="28"/>
          <w:szCs w:val="28"/>
          <w:rtl w:val="0"/>
        </w:rPr>
        <w:t xml:space="preserve">ă </w:t>
      </w:r>
      <w:r>
        <w:rPr>
          <w:sz w:val="28"/>
          <w:szCs w:val="28"/>
          <w:rtl w:val="0"/>
        </w:rPr>
        <w:t>inspectorul-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ef al Inspec</w:t>
      </w:r>
      <w:r>
        <w:rPr>
          <w:sz w:val="28"/>
          <w:szCs w:val="28"/>
          <w:rtl w:val="0"/>
        </w:rPr>
        <w:t>ț</w:t>
      </w:r>
      <w:r>
        <w:rPr>
          <w:sz w:val="28"/>
          <w:szCs w:val="28"/>
          <w:rtl w:val="0"/>
        </w:rPr>
        <w:t xml:space="preserve">iei Judiciare, domnul Lucian Netejoru, </w:t>
      </w:r>
      <w:r>
        <w:rPr>
          <w:sz w:val="28"/>
          <w:szCs w:val="28"/>
          <w:rtl w:val="0"/>
        </w:rPr>
        <w:t>ș</w:t>
      </w:r>
      <w:r>
        <w:rPr>
          <w:sz w:val="28"/>
          <w:szCs w:val="28"/>
          <w:rtl w:val="0"/>
        </w:rPr>
        <w:t>i doamna inspector Mate</w:t>
      </w:r>
      <w:r>
        <w:rPr>
          <w:sz w:val="28"/>
          <w:szCs w:val="28"/>
          <w:rtl w:val="0"/>
        </w:rPr>
        <w:t xml:space="preserve">ș </w:t>
      </w:r>
      <w:r>
        <w:rPr>
          <w:sz w:val="28"/>
          <w:szCs w:val="28"/>
          <w:rtl w:val="0"/>
        </w:rPr>
        <w:t>Daniela Sanda au formulat, la data de 12.04.2019, pl</w:t>
      </w:r>
      <w:r>
        <w:rPr>
          <w:sz w:val="28"/>
          <w:szCs w:val="28"/>
          <w:rtl w:val="0"/>
        </w:rPr>
        <w:t>â</w:t>
      </w:r>
      <w:r>
        <w:rPr>
          <w:sz w:val="28"/>
          <w:szCs w:val="28"/>
          <w:rtl w:val="0"/>
        </w:rPr>
        <w:t xml:space="preserve">ngeri penale 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mpotriva domnului procuror Bogdan Ciprian P</w:t>
      </w:r>
      <w:r>
        <w:rPr>
          <w:sz w:val="28"/>
          <w:szCs w:val="28"/>
          <w:rtl w:val="0"/>
        </w:rPr>
        <w:t>Î</w:t>
      </w:r>
      <w:r>
        <w:rPr>
          <w:sz w:val="28"/>
          <w:szCs w:val="28"/>
          <w:rtl w:val="0"/>
        </w:rPr>
        <w:t>RLOG (instrumentate de SIIJ).</w:t>
      </w: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Normal.0"/>
        <w:widowControl w:val="1"/>
        <w:spacing w:line="360" w:lineRule="auto"/>
        <w:ind w:firstLine="567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widowControl w:val="1"/>
        <w:spacing w:line="360" w:lineRule="auto"/>
        <w:ind w:firstLine="567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widowControl w:val="1"/>
        <w:spacing w:line="360" w:lineRule="auto"/>
        <w:ind w:firstLine="567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Asocia</w:t>
      </w:r>
      <w:r>
        <w:rPr>
          <w:b w:val="1"/>
          <w:bCs w:val="1"/>
          <w:sz w:val="28"/>
          <w:szCs w:val="28"/>
          <w:rtl w:val="0"/>
          <w:lang w:val="en-US"/>
        </w:rPr>
        <w:t>ț</w:t>
      </w:r>
      <w:r>
        <w:rPr>
          <w:b w:val="1"/>
          <w:bCs w:val="1"/>
          <w:sz w:val="28"/>
          <w:szCs w:val="28"/>
          <w:rtl w:val="0"/>
          <w:lang w:val="en-US"/>
        </w:rPr>
        <w:t>ia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„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Ini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ț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iativa Pentru Justi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ț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ie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”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, </w:t>
      </w:r>
    </w:p>
    <w:p>
      <w:pPr>
        <w:pStyle w:val="Normal.0"/>
        <w:widowControl w:val="1"/>
        <w:spacing w:line="360" w:lineRule="auto"/>
        <w:ind w:firstLine="567"/>
        <w:jc w:val="center"/>
        <w:rPr>
          <w:sz w:val="28"/>
          <w:szCs w:val="28"/>
        </w:rPr>
      </w:pPr>
    </w:p>
    <w:p>
      <w:pPr>
        <w:pStyle w:val="Normal.0"/>
        <w:widowControl w:val="1"/>
        <w:spacing w:line="360" w:lineRule="auto"/>
        <w:ind w:firstLine="567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Co-pre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ș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edin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ț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i, procurori:</w:t>
      </w:r>
    </w:p>
    <w:p>
      <w:pPr>
        <w:pStyle w:val="Normal.0"/>
        <w:widowControl w:val="1"/>
        <w:spacing w:line="360" w:lineRule="auto"/>
        <w:ind w:firstLine="567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widowControl w:val="1"/>
        <w:spacing w:line="360" w:lineRule="auto"/>
        <w:jc w:val="center"/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Sorin Marian LIA              Ionu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ț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MARCU             Bogdan-Ciprian P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Î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RLOG</w:t>
      </w:r>
    </w:p>
    <w:sectPr>
      <w:headerReference w:type="default" r:id="rId5"/>
      <w:footerReference w:type="default" r:id="rId6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5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