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79B" w14:textId="77777777" w:rsidR="00026B13" w:rsidRPr="009B381E" w:rsidRDefault="00026B13" w:rsidP="00312FF3">
      <w:pPr>
        <w:pStyle w:val="Title"/>
        <w:spacing w:line="276" w:lineRule="auto"/>
        <w:rPr>
          <w:sz w:val="24"/>
          <w:szCs w:val="24"/>
        </w:rPr>
      </w:pPr>
    </w:p>
    <w:p w14:paraId="5E4F6C6D" w14:textId="77777777" w:rsidR="004C1092" w:rsidRPr="009B381E" w:rsidRDefault="004C1092" w:rsidP="00312FF3">
      <w:pPr>
        <w:pStyle w:val="Title"/>
        <w:spacing w:line="276" w:lineRule="auto"/>
        <w:rPr>
          <w:sz w:val="24"/>
          <w:szCs w:val="24"/>
        </w:rPr>
      </w:pPr>
    </w:p>
    <w:p w14:paraId="2BA52A8F" w14:textId="2B743D98" w:rsidR="0025682E" w:rsidRPr="009B381E" w:rsidRDefault="00670C79" w:rsidP="00312FF3">
      <w:pPr>
        <w:pStyle w:val="Title"/>
        <w:spacing w:line="276" w:lineRule="auto"/>
        <w:rPr>
          <w:sz w:val="24"/>
          <w:szCs w:val="24"/>
        </w:rPr>
      </w:pPr>
      <w:r w:rsidRPr="009B381E">
        <w:rPr>
          <w:sz w:val="24"/>
          <w:szCs w:val="24"/>
        </w:rPr>
        <w:t>NOTĂ DE  FUNDAMENTARE</w:t>
      </w:r>
      <w:r w:rsidR="00662E0D" w:rsidRPr="009B381E">
        <w:rPr>
          <w:sz w:val="24"/>
          <w:szCs w:val="24"/>
        </w:rPr>
        <w:t xml:space="preserve"> </w:t>
      </w:r>
    </w:p>
    <w:p w14:paraId="16E1A72E" w14:textId="77777777" w:rsidR="0025682E" w:rsidRPr="009B381E" w:rsidRDefault="0025682E" w:rsidP="00312FF3">
      <w:pPr>
        <w:spacing w:line="276" w:lineRule="auto"/>
      </w:pPr>
    </w:p>
    <w:p w14:paraId="0DDE3CC0" w14:textId="77777777" w:rsidR="004C1092" w:rsidRPr="009B381E" w:rsidRDefault="004C1092" w:rsidP="00312FF3">
      <w:pPr>
        <w:spacing w:line="276" w:lineRule="auto"/>
      </w:pPr>
    </w:p>
    <w:p w14:paraId="21CD5C02" w14:textId="77777777" w:rsidR="004C1092" w:rsidRPr="009B381E" w:rsidRDefault="004C1092" w:rsidP="00312FF3">
      <w:pPr>
        <w:spacing w:line="276" w:lineRule="auto"/>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20BE3" w:rsidRPr="009B381E" w14:paraId="117C71DD" w14:textId="77777777" w:rsidTr="006A5A1B">
        <w:tc>
          <w:tcPr>
            <w:tcW w:w="10206" w:type="dxa"/>
          </w:tcPr>
          <w:p w14:paraId="12BCBC7C" w14:textId="10FA58DA" w:rsidR="00611644" w:rsidRPr="009B381E" w:rsidRDefault="00611644" w:rsidP="00312FF3">
            <w:pPr>
              <w:widowControl w:val="0"/>
              <w:spacing w:line="276" w:lineRule="auto"/>
              <w:jc w:val="both"/>
              <w:rPr>
                <w:lang w:eastAsia="ro-RO"/>
              </w:rPr>
            </w:pPr>
          </w:p>
          <w:p w14:paraId="5A2835A5" w14:textId="34CC468A" w:rsidR="00611644" w:rsidRPr="009B381E" w:rsidRDefault="00D35098" w:rsidP="00312FF3">
            <w:pPr>
              <w:pStyle w:val="Heading6"/>
              <w:spacing w:before="0" w:after="0" w:line="276" w:lineRule="auto"/>
              <w:jc w:val="center"/>
              <w:rPr>
                <w:sz w:val="24"/>
              </w:rPr>
            </w:pPr>
            <w:r w:rsidRPr="009B381E">
              <w:rPr>
                <w:sz w:val="24"/>
              </w:rPr>
              <w:t>Secțiunea</w:t>
            </w:r>
            <w:r w:rsidR="00611644" w:rsidRPr="009B381E">
              <w:rPr>
                <w:sz w:val="24"/>
              </w:rPr>
              <w:t xml:space="preserve"> 1</w:t>
            </w:r>
          </w:p>
          <w:p w14:paraId="19B440B1" w14:textId="63C18D1E" w:rsidR="00611644" w:rsidRPr="009B381E" w:rsidRDefault="00611644" w:rsidP="00312FF3">
            <w:pPr>
              <w:pStyle w:val="Heading6"/>
              <w:spacing w:before="0" w:after="0" w:line="276" w:lineRule="auto"/>
              <w:jc w:val="center"/>
              <w:rPr>
                <w:sz w:val="24"/>
              </w:rPr>
            </w:pPr>
            <w:r w:rsidRPr="009B381E">
              <w:rPr>
                <w:sz w:val="24"/>
              </w:rPr>
              <w:t>Titlul proiectului de act normativ</w:t>
            </w:r>
          </w:p>
          <w:p w14:paraId="134F9650" w14:textId="77777777" w:rsidR="0066428B" w:rsidRPr="009B381E" w:rsidRDefault="0066428B" w:rsidP="00312FF3">
            <w:pPr>
              <w:spacing w:line="276" w:lineRule="auto"/>
            </w:pPr>
          </w:p>
          <w:p w14:paraId="6526F66D" w14:textId="022F9883" w:rsidR="001A2A6E" w:rsidRPr="009B381E" w:rsidRDefault="007E2B3E" w:rsidP="00FC5961">
            <w:pPr>
              <w:widowControl w:val="0"/>
              <w:spacing w:line="276" w:lineRule="auto"/>
              <w:jc w:val="center"/>
              <w:rPr>
                <w:b/>
                <w:noProof/>
              </w:rPr>
            </w:pPr>
            <w:bookmarkStart w:id="0" w:name="_Hlk55985425"/>
            <w:r w:rsidRPr="009B381E">
              <w:rPr>
                <w:b/>
                <w:lang w:eastAsia="ro-RO"/>
              </w:rPr>
              <w:t xml:space="preserve">Ordonanță de urgență </w:t>
            </w:r>
            <w:bookmarkStart w:id="1" w:name="_Hlk55983684"/>
            <w:r w:rsidR="00FC5961" w:rsidRPr="009B381E">
              <w:rPr>
                <w:b/>
                <w:noProof/>
              </w:rPr>
              <w:t>privind gestionarea financiară a fondurilor europene pentru perioada de programare 2021-2027 alocate României din Fondul European de Dezvoltare Regională, Fondul de Coeziune, Fondul Social European Plus, Fondul pentru Tranziție Justă</w:t>
            </w:r>
          </w:p>
          <w:bookmarkEnd w:id="0"/>
          <w:bookmarkEnd w:id="1"/>
          <w:p w14:paraId="338F09EC" w14:textId="78C38E37" w:rsidR="00670C79" w:rsidRPr="009B381E" w:rsidRDefault="00670C79" w:rsidP="00312FF3">
            <w:pPr>
              <w:widowControl w:val="0"/>
              <w:spacing w:line="276" w:lineRule="auto"/>
              <w:rPr>
                <w:b/>
                <w:lang w:eastAsia="ro-RO"/>
              </w:rPr>
            </w:pPr>
          </w:p>
        </w:tc>
      </w:tr>
    </w:tbl>
    <w:p w14:paraId="6E28D791" w14:textId="77777777" w:rsidR="00670C79" w:rsidRPr="009B381E" w:rsidRDefault="00670C79" w:rsidP="00312FF3">
      <w:pPr>
        <w:spacing w:line="276" w:lineRule="auto"/>
        <w:rPr>
          <w:lang w:eastAsia="ro-RO"/>
        </w:rPr>
      </w:pPr>
      <w:r w:rsidRPr="009B381E">
        <w:rPr>
          <w:lang w:eastAsia="ro-RO"/>
        </w:rPr>
        <w:t xml:space="preserve"> </w:t>
      </w:r>
    </w:p>
    <w:p w14:paraId="23181ACA" w14:textId="6A2BF2F1" w:rsidR="00CB78C4" w:rsidRPr="009B381E" w:rsidRDefault="00670C79" w:rsidP="00312FF3">
      <w:pPr>
        <w:spacing w:line="276" w:lineRule="auto"/>
        <w:rPr>
          <w:b/>
          <w:lang w:eastAsia="ro-RO"/>
        </w:rPr>
      </w:pPr>
      <w:r w:rsidRPr="009B381E">
        <w:rPr>
          <w:b/>
          <w:lang w:eastAsia="ro-RO"/>
        </w:rPr>
        <w:t xml:space="preserve">   </w:t>
      </w:r>
      <w:r w:rsidR="00AA6FD4" w:rsidRPr="009B381E">
        <w:rPr>
          <w:b/>
          <w:lang w:eastAsia="ro-RO"/>
        </w:rPr>
        <w:t xml:space="preserve">  </w:t>
      </w:r>
      <w:r w:rsidR="007C16BF" w:rsidRPr="009B381E">
        <w:rPr>
          <w:b/>
          <w:lang w:eastAsia="ro-RO"/>
        </w:rPr>
        <w:t xml:space="preserve"> </w:t>
      </w:r>
      <w:r w:rsidR="00C5468F" w:rsidRPr="009B381E">
        <w:rPr>
          <w:b/>
          <w:lang w:eastAsia="ro-RO"/>
        </w:rPr>
        <w:t>Secțiunea</w:t>
      </w:r>
      <w:r w:rsidRPr="009B381E">
        <w:rPr>
          <w:b/>
          <w:lang w:eastAsia="ro-RO"/>
        </w:rPr>
        <w:t xml:space="preserve"> a 2-a  Motivul emiterii actului normativ</w:t>
      </w:r>
      <w:r w:rsidR="0066428B" w:rsidRPr="009B381E">
        <w:rPr>
          <w:b/>
          <w:lang w:eastAsia="ro-RO"/>
        </w:rPr>
        <w:t xml:space="preserve"> </w:t>
      </w:r>
    </w:p>
    <w:p w14:paraId="3FFBCA59" w14:textId="77777777" w:rsidR="00DB71DB" w:rsidRPr="009B381E" w:rsidRDefault="00DB71DB" w:rsidP="00312FF3">
      <w:pPr>
        <w:spacing w:line="276" w:lineRule="auto"/>
        <w:rPr>
          <w:b/>
          <w:lang w:eastAsia="ro-RO"/>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938"/>
      </w:tblGrid>
      <w:tr w:rsidR="00520BE3" w:rsidRPr="009B381E" w14:paraId="47D7FD1D" w14:textId="77777777" w:rsidTr="00EA0275">
        <w:trPr>
          <w:trHeight w:val="1270"/>
        </w:trPr>
        <w:tc>
          <w:tcPr>
            <w:tcW w:w="2259" w:type="dxa"/>
          </w:tcPr>
          <w:p w14:paraId="636EB141" w14:textId="1B22BA8F" w:rsidR="00670C79" w:rsidRPr="009B381E" w:rsidRDefault="00670C79" w:rsidP="00A70147">
            <w:pPr>
              <w:pStyle w:val="BodyText2"/>
              <w:spacing w:after="120"/>
              <w:rPr>
                <w:sz w:val="24"/>
                <w:lang w:eastAsia="ro-RO"/>
              </w:rPr>
            </w:pPr>
            <w:r w:rsidRPr="009B381E">
              <w:rPr>
                <w:sz w:val="24"/>
                <w:lang w:eastAsia="ro-RO"/>
              </w:rPr>
              <w:t xml:space="preserve">1.Descrierea </w:t>
            </w:r>
            <w:r w:rsidR="000F6105" w:rsidRPr="009B381E">
              <w:rPr>
                <w:sz w:val="24"/>
                <w:lang w:eastAsia="ro-RO"/>
              </w:rPr>
              <w:t>situației</w:t>
            </w:r>
            <w:r w:rsidRPr="009B381E">
              <w:rPr>
                <w:sz w:val="24"/>
                <w:lang w:eastAsia="ro-RO"/>
              </w:rPr>
              <w:t xml:space="preserve"> actuale</w:t>
            </w:r>
          </w:p>
        </w:tc>
        <w:tc>
          <w:tcPr>
            <w:tcW w:w="7938" w:type="dxa"/>
          </w:tcPr>
          <w:p w14:paraId="461B0F91" w14:textId="0F7BEC5C" w:rsidR="00DF278B" w:rsidRPr="009B381E" w:rsidRDefault="00BF4B8F" w:rsidP="00805594">
            <w:pPr>
              <w:autoSpaceDE w:val="0"/>
              <w:autoSpaceDN w:val="0"/>
              <w:adjustRightInd w:val="0"/>
              <w:ind w:firstLine="317"/>
              <w:jc w:val="both"/>
              <w:rPr>
                <w:lang w:eastAsia="en-GB"/>
              </w:rPr>
            </w:pPr>
            <w:r w:rsidRPr="009B381E">
              <w:rPr>
                <w:lang w:eastAsia="en-GB"/>
              </w:rPr>
              <w:t>Politica de coeziune este una din cele mai importante și mai complexe politici ale Uniunii Europene, având ca principal obiectiv reducerea decalajelor economice, sociale şi teritoriale între diversele regiuni și state membre ale Uniunii Europene. În cadrul acestei politici, obiectivele specifice privind creșterea economică și ocuparea forței de muncă sunt susținute prin contribuția fondurilor  externe nerambursabile  implementate prin bugete multianuale de 7 ani (perioade de programare).</w:t>
            </w:r>
          </w:p>
          <w:p w14:paraId="3F2E35EB" w14:textId="6E301584" w:rsidR="00305E5F" w:rsidRPr="009B381E" w:rsidRDefault="00305E5F" w:rsidP="00805594">
            <w:pPr>
              <w:autoSpaceDE w:val="0"/>
              <w:autoSpaceDN w:val="0"/>
              <w:adjustRightInd w:val="0"/>
              <w:ind w:firstLine="317"/>
              <w:jc w:val="both"/>
              <w:rPr>
                <w:lang w:eastAsia="en-GB"/>
              </w:rPr>
            </w:pPr>
            <w:r w:rsidRPr="009B381E">
              <w:rPr>
                <w:lang w:eastAsia="en-GB"/>
              </w:rPr>
              <w:t>Pentru perioada de programare 2021-2027, au fost adoptate reglementări comune pentru opt fonduri cu gestiune partajată pentru a</w:t>
            </w:r>
            <w:r w:rsidRPr="009B381E">
              <w:t xml:space="preserve"> </w:t>
            </w:r>
            <w:r w:rsidRPr="009B381E">
              <w:rPr>
                <w:lang w:eastAsia="en-GB"/>
              </w:rPr>
              <w:t>uniformiza regulile  de utilizare a  resurselor financiare puse la dispoziția statelor membre din bugetul Uniunii Europene. Astfel,</w:t>
            </w:r>
            <w:r w:rsidR="00481A82" w:rsidRPr="009B381E">
              <w:t xml:space="preserve"> </w:t>
            </w:r>
            <w:r w:rsidR="00481A82" w:rsidRPr="009B381E">
              <w:rPr>
                <w:lang w:eastAsia="en-GB"/>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Pr="009B381E">
              <w:rPr>
                <w:lang w:eastAsia="en-GB"/>
              </w:rPr>
              <w:t xml:space="preserve"> regulamentul comun vizează îmbunătățirea coordonării și armonizării implementării fondurilor care furnizează contribuții în</w:t>
            </w:r>
            <w:r w:rsidR="00481A82" w:rsidRPr="009B381E">
              <w:rPr>
                <w:lang w:eastAsia="en-GB"/>
              </w:rPr>
              <w:t xml:space="preserve"> temeiul politicii de coeziune, reducându-se </w:t>
            </w:r>
            <w:r w:rsidRPr="009B381E">
              <w:rPr>
                <w:lang w:eastAsia="en-GB"/>
              </w:rPr>
              <w:t xml:space="preserve">fragmentarea utilizării resurselor financiare puse la dispoziția statelor membre din bugetul Uniunii Europene. </w:t>
            </w:r>
          </w:p>
          <w:p w14:paraId="3AF1E221" w14:textId="77777777" w:rsidR="00DF278B" w:rsidRPr="009B381E" w:rsidRDefault="00305E5F" w:rsidP="00805594">
            <w:pPr>
              <w:autoSpaceDE w:val="0"/>
              <w:autoSpaceDN w:val="0"/>
              <w:adjustRightInd w:val="0"/>
              <w:ind w:firstLine="317"/>
              <w:jc w:val="both"/>
              <w:rPr>
                <w:lang w:eastAsia="en-GB"/>
              </w:rPr>
            </w:pPr>
            <w:r w:rsidRPr="009B381E">
              <w:rPr>
                <w:lang w:eastAsia="en-GB"/>
              </w:rPr>
              <w:t xml:space="preserve">   </w:t>
            </w:r>
            <w:r w:rsidR="00DF278B" w:rsidRPr="009B381E">
              <w:rPr>
                <w:lang w:eastAsia="en-GB"/>
              </w:rPr>
              <w:t>Pentru perioada de programare 2021-2027, în cadrul politicii de coeziune, România accesează fonduri externe nerambursabile în cadrul a cinci obiective de politică:</w:t>
            </w:r>
          </w:p>
          <w:p w14:paraId="6C7CD02C" w14:textId="77777777" w:rsidR="00DF278B" w:rsidRPr="009B381E" w:rsidRDefault="00DF278B" w:rsidP="00805594">
            <w:pPr>
              <w:autoSpaceDE w:val="0"/>
              <w:autoSpaceDN w:val="0"/>
              <w:adjustRightInd w:val="0"/>
              <w:ind w:firstLine="317"/>
              <w:jc w:val="both"/>
              <w:rPr>
                <w:lang w:eastAsia="en-GB"/>
              </w:rPr>
            </w:pPr>
            <w:r w:rsidRPr="009B381E">
              <w:rPr>
                <w:lang w:eastAsia="en-GB"/>
              </w:rPr>
              <w:t>1.</w:t>
            </w:r>
            <w:r w:rsidRPr="009B381E">
              <w:rPr>
                <w:lang w:eastAsia="en-GB"/>
              </w:rPr>
              <w:tab/>
              <w:t>O Europă mai inteligentă – o transformare economică inovatoare și inteligentă.</w:t>
            </w:r>
          </w:p>
          <w:p w14:paraId="0B4B0D11" w14:textId="77777777" w:rsidR="00DF278B" w:rsidRPr="009B381E" w:rsidRDefault="00DF278B" w:rsidP="00805594">
            <w:pPr>
              <w:autoSpaceDE w:val="0"/>
              <w:autoSpaceDN w:val="0"/>
              <w:adjustRightInd w:val="0"/>
              <w:ind w:firstLine="317"/>
              <w:jc w:val="both"/>
              <w:rPr>
                <w:lang w:eastAsia="en-GB"/>
              </w:rPr>
            </w:pPr>
            <w:r w:rsidRPr="009B381E">
              <w:rPr>
                <w:lang w:eastAsia="en-GB"/>
              </w:rPr>
              <w:t>2.</w:t>
            </w:r>
            <w:r w:rsidRPr="009B381E">
              <w:rPr>
                <w:lang w:eastAsia="en-GB"/>
              </w:rPr>
              <w:tab/>
              <w:t>O Europă mai ecologică, cu emisii scăzute de carbon.</w:t>
            </w:r>
          </w:p>
          <w:p w14:paraId="5940FA00" w14:textId="77777777" w:rsidR="00DF278B" w:rsidRPr="009B381E" w:rsidRDefault="00DF278B" w:rsidP="00805594">
            <w:pPr>
              <w:autoSpaceDE w:val="0"/>
              <w:autoSpaceDN w:val="0"/>
              <w:adjustRightInd w:val="0"/>
              <w:ind w:firstLine="317"/>
              <w:jc w:val="both"/>
              <w:rPr>
                <w:lang w:eastAsia="en-GB"/>
              </w:rPr>
            </w:pPr>
            <w:r w:rsidRPr="009B381E">
              <w:rPr>
                <w:lang w:eastAsia="en-GB"/>
              </w:rPr>
              <w:t>3.</w:t>
            </w:r>
            <w:r w:rsidRPr="009B381E">
              <w:rPr>
                <w:lang w:eastAsia="en-GB"/>
              </w:rPr>
              <w:tab/>
              <w:t>O Europă mai conectată – mobilitate și conectivitate TIC regională.</w:t>
            </w:r>
          </w:p>
          <w:p w14:paraId="2CC3AE03" w14:textId="77777777" w:rsidR="00DF278B" w:rsidRPr="009B381E" w:rsidRDefault="00DF278B" w:rsidP="00805594">
            <w:pPr>
              <w:autoSpaceDE w:val="0"/>
              <w:autoSpaceDN w:val="0"/>
              <w:adjustRightInd w:val="0"/>
              <w:ind w:firstLine="317"/>
              <w:jc w:val="both"/>
              <w:rPr>
                <w:lang w:eastAsia="en-GB"/>
              </w:rPr>
            </w:pPr>
            <w:r w:rsidRPr="009B381E">
              <w:rPr>
                <w:lang w:eastAsia="en-GB"/>
              </w:rPr>
              <w:t>4.</w:t>
            </w:r>
            <w:r w:rsidRPr="009B381E">
              <w:rPr>
                <w:lang w:eastAsia="en-GB"/>
              </w:rPr>
              <w:tab/>
              <w:t>O Europă mai socială – implementarea Pilonului european al drepturilor sociale.</w:t>
            </w:r>
          </w:p>
          <w:p w14:paraId="202734A1" w14:textId="375C46C7" w:rsidR="00DF278B" w:rsidRPr="009B381E" w:rsidRDefault="00DF278B" w:rsidP="00805594">
            <w:pPr>
              <w:autoSpaceDE w:val="0"/>
              <w:autoSpaceDN w:val="0"/>
              <w:adjustRightInd w:val="0"/>
              <w:ind w:firstLine="317"/>
              <w:jc w:val="both"/>
              <w:rPr>
                <w:lang w:eastAsia="en-GB"/>
              </w:rPr>
            </w:pPr>
            <w:r w:rsidRPr="009B381E">
              <w:rPr>
                <w:lang w:eastAsia="en-GB"/>
              </w:rPr>
              <w:lastRenderedPageBreak/>
              <w:t>5.</w:t>
            </w:r>
            <w:r w:rsidRPr="009B381E">
              <w:rPr>
                <w:lang w:eastAsia="en-GB"/>
              </w:rPr>
              <w:tab/>
              <w:t>O Europă mai aproape de cetățeni – dezvoltarea sustenabilă și integrată a zonelor urbane, rurale și de coastă prin inițiative locale.</w:t>
            </w:r>
            <w:r w:rsidR="00305E5F" w:rsidRPr="009B381E">
              <w:rPr>
                <w:lang w:eastAsia="en-GB"/>
              </w:rPr>
              <w:t xml:space="preserve">  </w:t>
            </w:r>
          </w:p>
          <w:p w14:paraId="130E5E26" w14:textId="6296F69D" w:rsidR="00107740" w:rsidRPr="009B381E" w:rsidRDefault="00107740" w:rsidP="00805594">
            <w:pPr>
              <w:autoSpaceDE w:val="0"/>
              <w:autoSpaceDN w:val="0"/>
              <w:adjustRightInd w:val="0"/>
              <w:ind w:firstLine="317"/>
              <w:jc w:val="both"/>
              <w:rPr>
                <w:lang w:eastAsia="en-GB"/>
              </w:rPr>
            </w:pPr>
            <w:r w:rsidRPr="009B381E">
              <w:rPr>
                <w:lang w:eastAsia="en-GB"/>
              </w:rPr>
              <w:t>Programarea fondurilor externe nerambursabile pentru perioada 2021 - 2027 se va finaliza prin încheierea unui Acord de Parteneriat cu Comisia Europeană, precum și prin elaborarea și aprobarea programelor subsecvente pentru perioada 2021-2027.</w:t>
            </w:r>
          </w:p>
          <w:p w14:paraId="239B40B0" w14:textId="77777777" w:rsidR="007640CC" w:rsidRPr="009B381E" w:rsidRDefault="007640CC" w:rsidP="00805594">
            <w:pPr>
              <w:autoSpaceDE w:val="0"/>
              <w:autoSpaceDN w:val="0"/>
              <w:adjustRightInd w:val="0"/>
              <w:ind w:firstLine="317"/>
              <w:jc w:val="both"/>
              <w:rPr>
                <w:bCs/>
                <w:lang w:eastAsia="en-GB"/>
              </w:rPr>
            </w:pPr>
            <w:r w:rsidRPr="009B381E">
              <w:rPr>
                <w:bCs/>
                <w:lang w:eastAsia="en-GB"/>
              </w:rPr>
              <w:t>Prin Memorandumul cu tema: Programele operaționale/naționale și arhitectura instituțională de gestionare a fondurilor europene aferente Politicii de Coeziune 2021-2027 aprobat în data de 27 februarie 2020, au fost stabilite arhitectura instituțională și programele operaționale aferente politicii de coeziune pentru perioada 2021-2027.</w:t>
            </w:r>
          </w:p>
          <w:p w14:paraId="7C5A6BC6" w14:textId="77777777" w:rsidR="00B951FF" w:rsidRPr="009B381E" w:rsidRDefault="0006409E" w:rsidP="00805594">
            <w:pPr>
              <w:autoSpaceDE w:val="0"/>
              <w:autoSpaceDN w:val="0"/>
              <w:adjustRightInd w:val="0"/>
              <w:ind w:firstLine="317"/>
              <w:jc w:val="both"/>
              <w:rPr>
                <w:bCs/>
                <w:lang w:eastAsia="en-GB"/>
              </w:rPr>
            </w:pPr>
            <w:r w:rsidRPr="009B381E">
              <w:rPr>
                <w:bCs/>
                <w:lang w:eastAsia="en-GB"/>
              </w:rPr>
              <w:t>La nivelul Ministerului Investițiilor și Proiectelor Europene, au fost elaborate</w:t>
            </w:r>
            <w:r w:rsidR="00B951FF" w:rsidRPr="009B381E">
              <w:rPr>
                <w:bCs/>
                <w:lang w:eastAsia="en-GB"/>
              </w:rPr>
              <w:t>,</w:t>
            </w:r>
            <w:r w:rsidRPr="009B381E">
              <w:rPr>
                <w:bCs/>
                <w:lang w:eastAsia="en-GB"/>
              </w:rPr>
              <w:t xml:space="preserve"> </w:t>
            </w:r>
            <w:r w:rsidR="00B951FF" w:rsidRPr="009B381E">
              <w:rPr>
                <w:bCs/>
                <w:lang w:eastAsia="en-GB"/>
              </w:rPr>
              <w:t xml:space="preserve">cu implicarea ministerelor de linie, dar și cu implicarea partenerilor economici și sociali, </w:t>
            </w:r>
            <w:r w:rsidR="00125245" w:rsidRPr="009B381E">
              <w:rPr>
                <w:bCs/>
                <w:lang w:eastAsia="en-GB"/>
              </w:rPr>
              <w:t xml:space="preserve">proiectele de </w:t>
            </w:r>
            <w:r w:rsidRPr="009B381E">
              <w:rPr>
                <w:bCs/>
                <w:lang w:eastAsia="en-GB"/>
              </w:rPr>
              <w:t>Programe Operaționale pentru pe</w:t>
            </w:r>
            <w:r w:rsidR="00125245" w:rsidRPr="009B381E">
              <w:rPr>
                <w:bCs/>
                <w:lang w:eastAsia="en-GB"/>
              </w:rPr>
              <w:t>rioada de programare 2021-2027,</w:t>
            </w:r>
            <w:r w:rsidR="00B951FF" w:rsidRPr="009B381E">
              <w:rPr>
                <w:bCs/>
                <w:lang w:eastAsia="en-GB"/>
              </w:rPr>
              <w:t xml:space="preserve"> respectiv:</w:t>
            </w:r>
          </w:p>
          <w:p w14:paraId="6C847017" w14:textId="77777777" w:rsidR="000A437E" w:rsidRPr="009B381E" w:rsidRDefault="000A437E" w:rsidP="00805594">
            <w:pPr>
              <w:pStyle w:val="ListParagraph"/>
              <w:numPr>
                <w:ilvl w:val="0"/>
                <w:numId w:val="11"/>
              </w:numPr>
              <w:autoSpaceDE w:val="0"/>
              <w:autoSpaceDN w:val="0"/>
              <w:adjustRightInd w:val="0"/>
              <w:jc w:val="both"/>
              <w:rPr>
                <w:rFonts w:ascii="Times New Roman" w:eastAsia="Times New Roman" w:hAnsi="Times New Roman" w:cs="Times New Roman"/>
                <w:bCs/>
                <w:lang w:eastAsia="en-GB"/>
              </w:rPr>
            </w:pPr>
            <w:r w:rsidRPr="009B381E">
              <w:rPr>
                <w:rFonts w:ascii="Times New Roman" w:eastAsia="Times New Roman" w:hAnsi="Times New Roman" w:cs="Times New Roman"/>
                <w:bCs/>
                <w:lang w:eastAsia="en-GB"/>
              </w:rPr>
              <w:t>Programul Operaţional Tranziție Justă (POTJ)</w:t>
            </w:r>
          </w:p>
          <w:p w14:paraId="6F036524" w14:textId="77777777"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 Operațional Dezvoltare Durabilă (PODD)</w:t>
            </w:r>
          </w:p>
          <w:p w14:paraId="0A50B326" w14:textId="77777777"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 Operațional Transport (POT)</w:t>
            </w:r>
          </w:p>
          <w:p w14:paraId="5F24CE51" w14:textId="77777777"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Programului Operațional Creștere Inteligentă, Digitalizare și Instrumente Financiare (POCIDIF)</w:t>
            </w:r>
          </w:p>
          <w:p w14:paraId="5A5CB097" w14:textId="77777777"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 Operațional Sănătate (POS)</w:t>
            </w:r>
          </w:p>
          <w:p w14:paraId="46713C9B" w14:textId="77777777"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 Operațional Educație și Ocupare (POEO)</w:t>
            </w:r>
          </w:p>
          <w:p w14:paraId="4568BA64" w14:textId="012EF2BC"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 Operaţional Incluziune și Demnitate Socială (POIDS)</w:t>
            </w:r>
          </w:p>
          <w:p w14:paraId="6368E7C2" w14:textId="77777777" w:rsidR="000A437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Programe Operaţionale Regionale</w:t>
            </w:r>
          </w:p>
          <w:p w14:paraId="40DBCF1E" w14:textId="685E17C6" w:rsidR="0006409E" w:rsidRPr="009B381E" w:rsidRDefault="000A437E" w:rsidP="00805594">
            <w:pPr>
              <w:pStyle w:val="ListParagraph"/>
              <w:numPr>
                <w:ilvl w:val="0"/>
                <w:numId w:val="12"/>
              </w:numPr>
              <w:autoSpaceDE w:val="0"/>
              <w:autoSpaceDN w:val="0"/>
              <w:adjustRightInd w:val="0"/>
              <w:jc w:val="both"/>
              <w:rPr>
                <w:rFonts w:ascii="Times New Roman" w:hAnsi="Times New Roman" w:cs="Times New Roman"/>
                <w:bCs/>
                <w:lang w:eastAsia="en-GB"/>
              </w:rPr>
            </w:pPr>
            <w:r w:rsidRPr="009B381E">
              <w:rPr>
                <w:rFonts w:ascii="Times New Roman" w:hAnsi="Times New Roman" w:cs="Times New Roman"/>
                <w:bCs/>
                <w:lang w:eastAsia="en-GB"/>
              </w:rPr>
              <w:t>Programul Operațional Asistență Tehnică</w:t>
            </w:r>
            <w:r w:rsidR="0006409E" w:rsidRPr="009B381E">
              <w:rPr>
                <w:rFonts w:ascii="Times New Roman" w:hAnsi="Times New Roman" w:cs="Times New Roman"/>
                <w:bCs/>
                <w:lang w:eastAsia="en-GB"/>
              </w:rPr>
              <w:t xml:space="preserve"> </w:t>
            </w:r>
          </w:p>
          <w:p w14:paraId="1995DFC5" w14:textId="31F88C6C" w:rsidR="008C2751" w:rsidRPr="009B381E" w:rsidRDefault="00125245" w:rsidP="00805594">
            <w:pPr>
              <w:autoSpaceDE w:val="0"/>
              <w:autoSpaceDN w:val="0"/>
              <w:adjustRightInd w:val="0"/>
              <w:ind w:firstLine="317"/>
              <w:jc w:val="both"/>
              <w:rPr>
                <w:lang w:eastAsia="en-GB"/>
              </w:rPr>
            </w:pPr>
            <w:r w:rsidRPr="009B381E">
              <w:rPr>
                <w:lang w:eastAsia="en-GB"/>
              </w:rPr>
              <w:t>Î</w:t>
            </w:r>
            <w:r w:rsidR="0006409E" w:rsidRPr="009B381E">
              <w:rPr>
                <w:lang w:eastAsia="en-GB"/>
              </w:rPr>
              <w:t xml:space="preserve">n prezent </w:t>
            </w:r>
            <w:r w:rsidR="008E534F" w:rsidRPr="009B381E">
              <w:rPr>
                <w:lang w:eastAsia="en-GB"/>
              </w:rPr>
              <w:t>continuă</w:t>
            </w:r>
            <w:r w:rsidRPr="009B381E">
              <w:rPr>
                <w:lang w:eastAsia="en-GB"/>
              </w:rPr>
              <w:t xml:space="preserve"> deru</w:t>
            </w:r>
            <w:r w:rsidR="008E534F" w:rsidRPr="009B381E">
              <w:rPr>
                <w:lang w:eastAsia="en-GB"/>
              </w:rPr>
              <w:t>larea</w:t>
            </w:r>
            <w:r w:rsidR="0006409E" w:rsidRPr="009B381E">
              <w:rPr>
                <w:lang w:eastAsia="en-GB"/>
              </w:rPr>
              <w:t xml:space="preserve"> runde</w:t>
            </w:r>
            <w:r w:rsidR="008E534F" w:rsidRPr="009B381E">
              <w:rPr>
                <w:lang w:eastAsia="en-GB"/>
              </w:rPr>
              <w:t>lor</w:t>
            </w:r>
            <w:r w:rsidR="0006409E" w:rsidRPr="009B381E">
              <w:rPr>
                <w:lang w:eastAsia="en-GB"/>
              </w:rPr>
              <w:t xml:space="preserve"> de negocieri în cadrul dialogului informal între autorităț</w:t>
            </w:r>
            <w:r w:rsidR="00115131" w:rsidRPr="009B381E">
              <w:rPr>
                <w:lang w:eastAsia="en-GB"/>
              </w:rPr>
              <w:t>ile române şi Comisia Europeană, în vederea aprobării acestora.</w:t>
            </w:r>
          </w:p>
          <w:p w14:paraId="6AD75475" w14:textId="1B1AC89A" w:rsidR="00305E5F" w:rsidRPr="009B381E" w:rsidRDefault="00305E5F" w:rsidP="00805594">
            <w:pPr>
              <w:autoSpaceDE w:val="0"/>
              <w:autoSpaceDN w:val="0"/>
              <w:adjustRightInd w:val="0"/>
              <w:ind w:firstLine="317"/>
              <w:jc w:val="both"/>
              <w:rPr>
                <w:lang w:eastAsia="en-GB"/>
              </w:rPr>
            </w:pPr>
            <w:r w:rsidRPr="009B381E">
              <w:rPr>
                <w:lang w:eastAsia="en-GB"/>
              </w:rPr>
              <w:t xml:space="preserve">În conformitate cu principiul și normele gestiunii partajate, statele membre au responsabilitatea principală pentru managementul și controlul asistenței financiare nerambursabile din partea Uniunii Europene, iar pachetul legislativ </w:t>
            </w:r>
            <w:r w:rsidR="00481A82" w:rsidRPr="009B381E">
              <w:rPr>
                <w:lang w:eastAsia="en-GB"/>
              </w:rPr>
              <w:t>adoptat</w:t>
            </w:r>
            <w:r w:rsidRPr="009B381E">
              <w:rPr>
                <w:lang w:eastAsia="en-GB"/>
              </w:rPr>
              <w:t xml:space="preserve"> în acest sens pentru implementarea fondurilor </w:t>
            </w:r>
            <w:r w:rsidRPr="009B381E">
              <w:t xml:space="preserve"> externe nerambursabile</w:t>
            </w:r>
            <w:r w:rsidRPr="009B381E" w:rsidDel="001275A6">
              <w:rPr>
                <w:lang w:eastAsia="en-GB"/>
              </w:rPr>
              <w:t xml:space="preserve"> </w:t>
            </w:r>
            <w:r w:rsidRPr="009B381E">
              <w:rPr>
                <w:lang w:eastAsia="en-GB"/>
              </w:rPr>
              <w:t xml:space="preserve"> 2021-2027 în gestiune partajată, cuprinde o serie de reglementări care impun statelor membre </w:t>
            </w:r>
            <w:r w:rsidR="00481A82" w:rsidRPr="009B381E">
              <w:rPr>
                <w:lang w:eastAsia="en-GB"/>
              </w:rPr>
              <w:t xml:space="preserve">adoptarea cadrului legislativ național care reglementează gestionarea financiară a proiectelor finanțate din fonduri europene. </w:t>
            </w:r>
          </w:p>
          <w:p w14:paraId="1F93E3D3" w14:textId="5E9B36A9" w:rsidR="009D5452" w:rsidRPr="009B381E" w:rsidRDefault="00305E5F" w:rsidP="00805594">
            <w:pPr>
              <w:autoSpaceDE w:val="0"/>
              <w:autoSpaceDN w:val="0"/>
              <w:adjustRightInd w:val="0"/>
              <w:ind w:firstLine="317"/>
              <w:jc w:val="both"/>
              <w:rPr>
                <w:lang w:eastAsia="en-GB"/>
              </w:rPr>
            </w:pPr>
            <w:r w:rsidRPr="009B381E">
              <w:rPr>
                <w:lang w:eastAsia="en-GB"/>
              </w:rPr>
              <w:t xml:space="preserve"> </w:t>
            </w:r>
            <w:r w:rsidR="009D5452" w:rsidRPr="009B381E">
              <w:rPr>
                <w:lang w:eastAsia="en-GB"/>
              </w:rPr>
              <w:t xml:space="preserve">Prin Ordonanța de urgență a Guvernului nr. 122/2020 </w:t>
            </w:r>
            <w:r w:rsidR="009D5452" w:rsidRPr="009B381E">
              <w:rPr>
                <w:i/>
                <w:lang w:eastAsia="en-GB"/>
              </w:rPr>
              <w:t>privind unele măsuri pentru asigurarea eficientizării procesului decizional al fondurilor externe nerambursabile destinate dezvoltării regionale în România</w:t>
            </w:r>
            <w:r w:rsidR="00693450" w:rsidRPr="009B381E">
              <w:rPr>
                <w:i/>
                <w:lang w:eastAsia="en-GB"/>
              </w:rPr>
              <w:t xml:space="preserve"> </w:t>
            </w:r>
            <w:r w:rsidR="00693450" w:rsidRPr="009B381E">
              <w:rPr>
                <w:iCs/>
                <w:lang w:eastAsia="en-GB"/>
              </w:rPr>
              <w:t>și</w:t>
            </w:r>
            <w:r w:rsidRPr="009B381E">
              <w:rPr>
                <w:lang w:eastAsia="en-GB"/>
              </w:rPr>
              <w:t xml:space="preserve"> </w:t>
            </w:r>
            <w:r w:rsidR="00693450" w:rsidRPr="009B381E">
              <w:rPr>
                <w:lang w:eastAsia="en-GB"/>
              </w:rPr>
              <w:t xml:space="preserve">Horărârea Guvernului nr. 936/2020 </w:t>
            </w:r>
            <w:r w:rsidR="00693450" w:rsidRPr="009B381E">
              <w:rPr>
                <w:i/>
                <w:iCs/>
                <w:lang w:eastAsia="en-GB"/>
              </w:rPr>
              <w:t>pentru aprobarea cadrului general necesar în vederea implicării autorităţilor şi instituţiilor din România în procesul de programare şi negociere a fondurilor externe nerambursabile aferente perioadei de programare 2021-2027 şi a cadrului instituţional de coordonare, gestionare şi control al acestor fonduri,</w:t>
            </w:r>
            <w:r w:rsidR="00693450" w:rsidRPr="009B381E">
              <w:rPr>
                <w:lang w:eastAsia="en-GB"/>
              </w:rPr>
              <w:t xml:space="preserve"> </w:t>
            </w:r>
            <w:r w:rsidR="009D5452" w:rsidRPr="009B381E">
              <w:rPr>
                <w:lang w:eastAsia="en-GB"/>
              </w:rPr>
              <w:t xml:space="preserve">a fost reglementat cadrul instituțional de coordonare și gestionare a fondurilor externe nerambursabile alocate României în perioada 2021 – 2027 prin Programele Operaționale Regionale și au fost stabilite principalele atribuții ale instituțiilor/structurilor implicate în coordonarea, gestionarea și controlul acestora. </w:t>
            </w:r>
          </w:p>
          <w:p w14:paraId="17D51895" w14:textId="7810D83E" w:rsidR="00B42A83" w:rsidRPr="009B381E" w:rsidRDefault="00B42A83" w:rsidP="00805594">
            <w:pPr>
              <w:autoSpaceDE w:val="0"/>
              <w:autoSpaceDN w:val="0"/>
              <w:adjustRightInd w:val="0"/>
              <w:ind w:firstLine="317"/>
              <w:jc w:val="both"/>
              <w:rPr>
                <w:lang w:eastAsia="en-GB"/>
              </w:rPr>
            </w:pPr>
            <w:r w:rsidRPr="009B381E">
              <w:rPr>
                <w:lang w:eastAsia="en-GB"/>
              </w:rPr>
              <w:t xml:space="preserve">Astfel, Agențiile pentru Dezvoltare Regională, în calitate de autorități de management pentru Programele Operaționale Regionale (POR) îndeplinesc funcțiile prevăzute de reglementările legale naționale și europene, printre care cele mai importante sunt funcția de angajare a cheltuielilor prin semnarea </w:t>
            </w:r>
            <w:r w:rsidRPr="009B381E">
              <w:rPr>
                <w:lang w:eastAsia="en-GB"/>
              </w:rPr>
              <w:lastRenderedPageBreak/>
              <w:t>contractelor de finanțare cu beneficiarii, funcția de plată în relația cu beneficiarii, funcția de constatare a neregulilor și de stabilire a creanțelor, precum și funcția de autorizare a cheltuielilor, conform cadrului de reglementare la nivel național pentru perioada de programare 2021-2027.</w:t>
            </w:r>
          </w:p>
          <w:p w14:paraId="64CA6017" w14:textId="584ED2D7" w:rsidR="00894A0A" w:rsidRPr="009B381E" w:rsidRDefault="00555D3D" w:rsidP="00805594">
            <w:pPr>
              <w:autoSpaceDE w:val="0"/>
              <w:autoSpaceDN w:val="0"/>
              <w:adjustRightInd w:val="0"/>
              <w:ind w:firstLine="317"/>
              <w:jc w:val="both"/>
              <w:rPr>
                <w:lang w:eastAsia="en-GB"/>
              </w:rPr>
            </w:pPr>
            <w:r w:rsidRPr="009B381E">
              <w:rPr>
                <w:lang w:eastAsia="en-GB"/>
              </w:rPr>
              <w:t>Ministerul Investițiilor și Proiectelor Europene are responsabilitatea coordonării pregătirii, dezvoltării, armonizării şi funcţionării cadrului legislativ, instituţional, procedural şi programatic pentru gestionarea fondurilor externe nerambursabile aferente politicii de coeziune alocate României pentru perioada de programare 2021 – 2027. În acest context, actul normativ stabilește cadrul financiar general pentru gestionarea asistenţei financiare nerambursabile alocate României din Fondul European de Dezvoltare Regională, Fondul de Coeziune, Fondul Social European Plus, Fondul pentru Tranziție Justă, în perioada de programare 2021-2027, precum şi a prefinanţării şi cofinanţării aferente acestei asistenţe, în vederea asigurării unui management financiar eficient al acestor fonduri.</w:t>
            </w:r>
          </w:p>
          <w:p w14:paraId="1EE8C708" w14:textId="61E78DF5" w:rsidR="00555D3D" w:rsidRPr="009B381E" w:rsidRDefault="00555D3D" w:rsidP="00805594">
            <w:pPr>
              <w:autoSpaceDE w:val="0"/>
              <w:autoSpaceDN w:val="0"/>
              <w:adjustRightInd w:val="0"/>
              <w:ind w:firstLine="317"/>
              <w:jc w:val="both"/>
              <w:rPr>
                <w:lang w:eastAsia="en-GB"/>
              </w:rPr>
            </w:pPr>
            <w:r w:rsidRPr="009B381E">
              <w:rPr>
                <w:lang w:eastAsia="en-GB"/>
              </w:rPr>
              <w:t>Pentru interpretarea unitară și înțelegerea corectă a termenilor utilizați în cadrul actului normativ este necesară definirea acestora. Astfel, termenii utilizați care sunt definiți deja în regulamentele europene și în legislația națională relevantă în domeniul fondurilor europene au fost definiți prin trimitere la regulamentele (UE) respective sau la legislația națională aplicabilă. De asemenea, ținând cont de experiența dobândită pe parcursul perioadei de programare 2014-2020, anumiți termeni au fost definiți similar actului normativ privind gestionarea financiară a fondurilor europene pentru perioada de programare 2014-2020.</w:t>
            </w:r>
          </w:p>
          <w:p w14:paraId="2C95761F" w14:textId="1C70F81D" w:rsidR="00555D3D" w:rsidRPr="009B381E" w:rsidRDefault="00555D3D" w:rsidP="00805594">
            <w:pPr>
              <w:autoSpaceDE w:val="0"/>
              <w:autoSpaceDN w:val="0"/>
              <w:adjustRightInd w:val="0"/>
              <w:ind w:firstLine="317"/>
              <w:jc w:val="both"/>
              <w:rPr>
                <w:lang w:eastAsia="en-GB"/>
              </w:rPr>
            </w:pPr>
            <w:r w:rsidRPr="009B381E">
              <w:rPr>
                <w:lang w:eastAsia="en-GB"/>
              </w:rPr>
              <w:t xml:space="preserve">Prin </w:t>
            </w:r>
            <w:r w:rsidR="00E15335" w:rsidRPr="009B381E">
              <w:rPr>
                <w:lang w:eastAsia="en-GB"/>
              </w:rPr>
              <w:t>H</w:t>
            </w:r>
            <w:r w:rsidR="00E15335">
              <w:rPr>
                <w:lang w:eastAsia="en-GB"/>
              </w:rPr>
              <w:t xml:space="preserve">otărârea </w:t>
            </w:r>
            <w:r w:rsidR="00E15335" w:rsidRPr="009B381E">
              <w:rPr>
                <w:lang w:eastAsia="en-GB"/>
              </w:rPr>
              <w:t>G</w:t>
            </w:r>
            <w:r w:rsidR="00E15335">
              <w:rPr>
                <w:lang w:eastAsia="en-GB"/>
              </w:rPr>
              <w:t>uvernului</w:t>
            </w:r>
            <w:r w:rsidRPr="009B381E">
              <w:rPr>
                <w:lang w:eastAsia="en-GB"/>
              </w:rPr>
              <w:t xml:space="preserve"> nr. 936/2020 </w:t>
            </w:r>
            <w:r w:rsidRPr="009B381E">
              <w:rPr>
                <w:i/>
                <w:iCs/>
                <w:lang w:eastAsia="en-GB"/>
              </w:rPr>
              <w:t xml:space="preserve">pentru aprobarea cadrului general necesar în vederea implicării autorităților şi instituțiilor din România în procesul de programare şi negociere a fondurilor externe nerambursabile aferente perioadei de programare 2021-2027 şi a cadrului instituțional de coordonare, gestionare şi control al acestor fonduri </w:t>
            </w:r>
            <w:r w:rsidRPr="009B381E">
              <w:rPr>
                <w:lang w:eastAsia="en-GB"/>
              </w:rPr>
              <w:t>a fost reglementat cadrul instituțional de coordonare și gestionare a fondurilor externe nerambursabile alocate României în perioada 2021 – 2027 și au fost stabilite principalele atribuții ale instituțiilor/structurilor implicate în coordonarea, gestionarea și controlul acestor</w:t>
            </w:r>
            <w:r w:rsidRPr="009B381E">
              <w:rPr>
                <w:lang w:val="en-US" w:eastAsia="en-GB"/>
              </w:rPr>
              <w:t xml:space="preserve">a. </w:t>
            </w:r>
            <w:r w:rsidRPr="009B381E">
              <w:rPr>
                <w:lang w:eastAsia="en-GB"/>
              </w:rPr>
              <w:t>Prezentul act normativ  stabilește atribuțiile Ministerului Investițiilor și Proiectelor Europene în vederea asigurării unui management eficient al fondurilor europene și ale Ministerului Finanțelor în ceea ce privește gestionarea acestora prin conturi deschise la Banca Națională a României și/sau Trezoreria Statului. De asemenea, pentru asigurarea unui flux financiar constant la nivelul beneficiarilor, actul normativ prevede faptul c</w:t>
            </w:r>
            <w:r w:rsidR="00C22816">
              <w:rPr>
                <w:lang w:eastAsia="en-GB"/>
              </w:rPr>
              <w:t>ă</w:t>
            </w:r>
            <w:r w:rsidRPr="009B381E">
              <w:rPr>
                <w:lang w:eastAsia="en-GB"/>
              </w:rPr>
              <w:t xml:space="preserve"> sumele aferente derulării proiectelor finanțate din fonduri europene, existente în conturile beneficiarilor nu pot fi, în general, supuse executării silite pe perioada de valabilitate a contractelor/deciziilor/ordinelor de finanţare cu excepția situațiilor identificate în textul actului normativ. În ceea ce privește proiectele </w:t>
            </w:r>
            <w:r w:rsidRPr="009B381E">
              <w:rPr>
                <w:iCs/>
                <w:lang w:eastAsia="en-GB"/>
              </w:rPr>
              <w:t>preluate parțial</w:t>
            </w:r>
            <w:r w:rsidRPr="009B381E">
              <w:rPr>
                <w:lang w:eastAsia="en-GB"/>
              </w:rPr>
              <w:t xml:space="preserve"> din perioada de programare 2014-2020 în perioada de programare 2021-2027 în conformitate cu prevederile art.118 din Regulamentul (UE) nr. 1060/2021, a fost necesară reglementarea faptului că beneficiarii publici pot include în buget creditele de angajament şi creditele bugetare aferente acestor proiecte.</w:t>
            </w:r>
          </w:p>
          <w:p w14:paraId="4E809B42" w14:textId="3118408F" w:rsidR="00555D3D" w:rsidRPr="009B381E" w:rsidRDefault="00555D3D" w:rsidP="00805594">
            <w:pPr>
              <w:autoSpaceDE w:val="0"/>
              <w:autoSpaceDN w:val="0"/>
              <w:adjustRightInd w:val="0"/>
              <w:ind w:firstLine="317"/>
              <w:jc w:val="both"/>
              <w:rPr>
                <w:lang w:eastAsia="en-GB"/>
              </w:rPr>
            </w:pPr>
            <w:r w:rsidRPr="009B381E">
              <w:rPr>
                <w:lang w:eastAsia="en-GB"/>
              </w:rPr>
              <w:t>În vederea asigurării disponibilităților de fonduri la nivelul autorităților de management, pentru asigurarea plăților către beneficiari pentru cheltuielile eligibile rambursabile din fonduri europene, este necesară reglementarea faptului că prin hotărâri ale Guvernului se pot aloca temporar sume din veniturile din privatizare în lei şi în valută.</w:t>
            </w:r>
          </w:p>
          <w:p w14:paraId="0A7184CB" w14:textId="79E94777" w:rsidR="00555D3D" w:rsidRPr="009B381E" w:rsidRDefault="00555D3D" w:rsidP="00805594">
            <w:pPr>
              <w:autoSpaceDE w:val="0"/>
              <w:autoSpaceDN w:val="0"/>
              <w:adjustRightInd w:val="0"/>
              <w:ind w:firstLine="317"/>
              <w:jc w:val="both"/>
              <w:rPr>
                <w:lang w:eastAsia="en-GB"/>
              </w:rPr>
            </w:pPr>
            <w:r w:rsidRPr="009B381E">
              <w:rPr>
                <w:lang w:eastAsia="en-GB"/>
              </w:rPr>
              <w:lastRenderedPageBreak/>
              <w:t xml:space="preserve">În vederea asigurării unei derulări optime a fluxului financiar aferente gestionării instrumentelor financiare, este necesară reglementarea operaţiunilor aferente la nivelul autorităților de management și Autorității de </w:t>
            </w:r>
            <w:r w:rsidR="00300E1C">
              <w:rPr>
                <w:lang w:eastAsia="en-GB"/>
              </w:rPr>
              <w:t>C</w:t>
            </w:r>
            <w:r w:rsidRPr="009B381E">
              <w:rPr>
                <w:lang w:eastAsia="en-GB"/>
              </w:rPr>
              <w:t xml:space="preserve">ertificare și </w:t>
            </w:r>
            <w:r w:rsidR="00300E1C">
              <w:rPr>
                <w:lang w:eastAsia="en-GB"/>
              </w:rPr>
              <w:t>P</w:t>
            </w:r>
            <w:r w:rsidRPr="009B381E">
              <w:rPr>
                <w:lang w:eastAsia="en-GB"/>
              </w:rPr>
              <w:t>lată.</w:t>
            </w:r>
            <w:r w:rsidR="00805594" w:rsidRPr="009B381E">
              <w:rPr>
                <w:lang w:eastAsia="en-GB"/>
              </w:rPr>
              <w:t xml:space="preserve"> </w:t>
            </w:r>
            <w:r w:rsidRPr="009B381E">
              <w:rPr>
                <w:lang w:eastAsia="en-GB"/>
              </w:rPr>
              <w:t>Astfel, pentru derularea operaţiunilor financiare aferente gestionării instrumentelor financiare, actul normativ reglementează fluxul financiar aferent acestor instrumente, conform prevederilor Regulamentului (UE) nr. 1060/2021, art. 59 referitor la execuția instrumentelor financiare.</w:t>
            </w:r>
          </w:p>
          <w:p w14:paraId="12E55DD6" w14:textId="77777777" w:rsidR="00805594" w:rsidRPr="009B381E" w:rsidRDefault="00742BEF" w:rsidP="00805594">
            <w:pPr>
              <w:autoSpaceDE w:val="0"/>
              <w:autoSpaceDN w:val="0"/>
              <w:adjustRightInd w:val="0"/>
              <w:ind w:firstLine="317"/>
              <w:jc w:val="both"/>
              <w:rPr>
                <w:lang w:eastAsia="en-GB"/>
              </w:rPr>
            </w:pPr>
            <w:r w:rsidRPr="009B381E">
              <w:rPr>
                <w:lang w:eastAsia="en-GB"/>
              </w:rPr>
              <w:t xml:space="preserve">În vederea asigurării disponibilităților de plată la nivelul beneficiarilor autorități publice centrale pentru furnizori în cadrul proiectelor finanțate din fonduri europene, este necesară reglementarea  a ceea ce se cuprinde în bugetul acestora. </w:t>
            </w:r>
          </w:p>
          <w:p w14:paraId="6FBEABB1" w14:textId="6EB28D94" w:rsidR="00742BEF" w:rsidRPr="009B381E" w:rsidRDefault="00742BEF" w:rsidP="00805594">
            <w:pPr>
              <w:autoSpaceDE w:val="0"/>
              <w:autoSpaceDN w:val="0"/>
              <w:adjustRightInd w:val="0"/>
              <w:ind w:firstLine="317"/>
              <w:jc w:val="both"/>
              <w:rPr>
                <w:lang w:eastAsia="en-GB"/>
              </w:rPr>
            </w:pPr>
            <w:r w:rsidRPr="009B381E">
              <w:rPr>
                <w:lang w:eastAsia="en-GB"/>
              </w:rPr>
              <w:t xml:space="preserve">Având în vedere că unitățile care funcționează sub autoritatea Ministerului Transporturilor și Infrastructurii (cum ar fi Compania Națională de Administrare a Infrastructurii Rutiere - S.A și Compania Națională de Căi Ferate "C.F.R." - S.A.) sunt principalii beneficiari ai proiectelor finanțate din fonduri europene, actul normativ prevede cuprinderea în bugetul </w:t>
            </w:r>
            <w:r w:rsidR="00CC3478" w:rsidRPr="009B381E">
              <w:rPr>
                <w:lang w:eastAsia="en-GB"/>
              </w:rPr>
              <w:t>Ministerului Transporturilor și Infrastructurii</w:t>
            </w:r>
            <w:r w:rsidRPr="009B381E">
              <w:rPr>
                <w:lang w:eastAsia="en-GB"/>
              </w:rPr>
              <w:t xml:space="preserve"> a creditelor de angajament şi creditelor bugetare aferente valorii totale a proiectelor acestor unități.</w:t>
            </w:r>
          </w:p>
          <w:p w14:paraId="0202D0DF" w14:textId="677D614F" w:rsidR="00742BEF" w:rsidRPr="009B381E" w:rsidRDefault="00742BEF" w:rsidP="00805594">
            <w:pPr>
              <w:autoSpaceDE w:val="0"/>
              <w:autoSpaceDN w:val="0"/>
              <w:adjustRightInd w:val="0"/>
              <w:ind w:firstLine="317"/>
              <w:jc w:val="both"/>
              <w:rPr>
                <w:lang w:eastAsia="en-GB"/>
              </w:rPr>
            </w:pPr>
            <w:r w:rsidRPr="009B381E">
              <w:rPr>
                <w:lang w:eastAsia="en-GB"/>
              </w:rPr>
              <w:t>Instrumentul de finanțare Connecting Europe Facility (Mecanismul pentru Interconectarea Europei) – CEF, instituit în baza Regulamentului (UE) 1316/2013 al Parlamentului European şi al Consiliului de instituire a CEF, urmărește să sprijine implementarea acelor proiecte de interes comun care vizează dezvoltarea și construcția unor infrastructuri și servicii noi sau modernizarea infrastructurilor și serviciilor existente în sectoarele transporturilor, telecomunicațiilor și energiei. Aceasta inițiativă comunitară este gestionată centralizat de către Comisia Europeană și Agenţia Executivă pentru Climă, Mediu și Infrastructură (European Climate, Environment and Infrastructure Executive Agency- CINEA).</w:t>
            </w:r>
          </w:p>
          <w:p w14:paraId="60DE8A05" w14:textId="4F53BB99" w:rsidR="00742BEF" w:rsidRPr="009B381E" w:rsidRDefault="00742BEF" w:rsidP="00805594">
            <w:pPr>
              <w:autoSpaceDE w:val="0"/>
              <w:autoSpaceDN w:val="0"/>
              <w:adjustRightInd w:val="0"/>
              <w:ind w:firstLine="317"/>
              <w:jc w:val="both"/>
              <w:rPr>
                <w:lang w:eastAsia="en-GB"/>
              </w:rPr>
            </w:pPr>
            <w:r w:rsidRPr="009B381E">
              <w:rPr>
                <w:lang w:eastAsia="en-GB"/>
              </w:rPr>
              <w:t xml:space="preserve">Coordonarea gestionării CEF la nivelul României, pentru sectoarele transport, telecomunicații și energie, este asigurată de către Ministerul Investițiilor și Proiectelor Europene, conform </w:t>
            </w:r>
            <w:r w:rsidR="00217238" w:rsidRPr="009B381E">
              <w:rPr>
                <w:lang w:eastAsia="en-GB"/>
              </w:rPr>
              <w:t>H</w:t>
            </w:r>
            <w:r w:rsidR="00217238">
              <w:rPr>
                <w:lang w:eastAsia="en-GB"/>
              </w:rPr>
              <w:t xml:space="preserve">otărârii </w:t>
            </w:r>
            <w:r w:rsidR="00217238" w:rsidRPr="009B381E">
              <w:rPr>
                <w:lang w:eastAsia="en-GB"/>
              </w:rPr>
              <w:t>G</w:t>
            </w:r>
            <w:r w:rsidR="00217238">
              <w:rPr>
                <w:lang w:eastAsia="en-GB"/>
              </w:rPr>
              <w:t>uvernului</w:t>
            </w:r>
            <w:r w:rsidRPr="009B381E">
              <w:rPr>
                <w:lang w:eastAsia="en-GB"/>
              </w:rPr>
              <w:t xml:space="preserve"> nr. 52/2018 </w:t>
            </w:r>
            <w:r w:rsidRPr="009B381E">
              <w:rPr>
                <w:i/>
                <w:iCs/>
                <w:lang w:eastAsia="en-GB"/>
              </w:rPr>
              <w:t>privind organizarea şi funcţionarea Ministerului Fondurilor Europene</w:t>
            </w:r>
            <w:r w:rsidRPr="009B381E">
              <w:rPr>
                <w:lang w:eastAsia="en-GB"/>
              </w:rPr>
              <w:t xml:space="preserve">, cu modificările și completările ulterioare, Ministerul Transporturilor și Infrastructurii fiind responsabil cu monitorizarea tehnică și financiară a proiectelor din sectorul de transport. </w:t>
            </w:r>
          </w:p>
          <w:p w14:paraId="5461D0EF" w14:textId="4D4F204E" w:rsidR="00742BEF" w:rsidRPr="009B381E" w:rsidRDefault="00742BEF" w:rsidP="00805594">
            <w:pPr>
              <w:autoSpaceDE w:val="0"/>
              <w:autoSpaceDN w:val="0"/>
              <w:adjustRightInd w:val="0"/>
              <w:ind w:firstLine="317"/>
              <w:jc w:val="both"/>
              <w:rPr>
                <w:lang w:eastAsia="en-GB"/>
              </w:rPr>
            </w:pPr>
            <w:r w:rsidRPr="009B381E">
              <w:rPr>
                <w:lang w:eastAsia="en-GB"/>
              </w:rPr>
              <w:t>Pentru a elimina sincopele în realizarea investițiilor din domeniul de transport în perioada 2021-2027, prin uniformizarea mecanismelor de finanțare din fonduri europene nerambursabile pentru acest domeniu</w:t>
            </w:r>
            <w:r w:rsidR="00B166B5">
              <w:rPr>
                <w:lang w:eastAsia="en-GB"/>
              </w:rPr>
              <w:t xml:space="preserve"> </w:t>
            </w:r>
            <w:r w:rsidRPr="009B381E">
              <w:rPr>
                <w:lang w:eastAsia="en-GB"/>
              </w:rPr>
              <w:t>este necesară reglementarea faptului că, doar pentru domeniile de transport CEF,  transferul sumelor necesare cofinanțării României, TVA, cheltuielilor neeligibile și contravaloarea sumelor aferente contribuției UE, care în conformitate cu prevederile acordurilor de finanțare se rambursează după finalizarea proiectului pentru proiectele finanțate în cadrul Mecanismului pentru Interconectarea Europei, se va face prin bugetul Ministerului Transporturilor și Infrastructurii.</w:t>
            </w:r>
            <w:r w:rsidR="00B166B5" w:rsidRPr="00B166B5">
              <w:rPr>
                <w:lang w:eastAsia="en-GB"/>
              </w:rPr>
              <w:t xml:space="preserve"> </w:t>
            </w:r>
            <w:r w:rsidR="00B166B5">
              <w:rPr>
                <w:lang w:eastAsia="en-GB"/>
              </w:rPr>
              <w:t>Se asigură</w:t>
            </w:r>
            <w:r w:rsidR="00B166B5" w:rsidRPr="00B166B5">
              <w:rPr>
                <w:lang w:eastAsia="en-GB"/>
              </w:rPr>
              <w:t xml:space="preserve"> astfel eficientizarea timpului de decizie în procesul de pregătire, urmărire și implementare a proiectelor de transport</w:t>
            </w:r>
            <w:r w:rsidR="00B166B5">
              <w:rPr>
                <w:lang w:eastAsia="en-GB"/>
              </w:rPr>
              <w:t>.</w:t>
            </w:r>
          </w:p>
          <w:p w14:paraId="0D4D517F" w14:textId="24916DD5" w:rsidR="00742BEF" w:rsidRPr="009B381E" w:rsidRDefault="00805594" w:rsidP="00805594">
            <w:pPr>
              <w:autoSpaceDE w:val="0"/>
              <w:autoSpaceDN w:val="0"/>
              <w:adjustRightInd w:val="0"/>
              <w:ind w:firstLine="317"/>
              <w:jc w:val="both"/>
              <w:rPr>
                <w:lang w:eastAsia="en-GB"/>
              </w:rPr>
            </w:pPr>
            <w:r w:rsidRPr="009B381E">
              <w:rPr>
                <w:lang w:eastAsia="en-GB"/>
              </w:rPr>
              <w:t xml:space="preserve">Pentru </w:t>
            </w:r>
            <w:r w:rsidR="00B906E1" w:rsidRPr="009B381E">
              <w:rPr>
                <w:lang w:eastAsia="en-GB"/>
              </w:rPr>
              <w:t>asigur</w:t>
            </w:r>
            <w:r w:rsidRPr="009B381E">
              <w:rPr>
                <w:lang w:eastAsia="en-GB"/>
              </w:rPr>
              <w:t>area</w:t>
            </w:r>
            <w:r w:rsidR="00B906E1" w:rsidRPr="009B381E">
              <w:rPr>
                <w:lang w:eastAsia="en-GB"/>
              </w:rPr>
              <w:t xml:space="preserve"> disponibilităților de plată</w:t>
            </w:r>
            <w:r w:rsidRPr="009B381E">
              <w:rPr>
                <w:lang w:eastAsia="en-GB"/>
              </w:rPr>
              <w:t xml:space="preserve"> </w:t>
            </w:r>
            <w:r w:rsidR="00B906E1" w:rsidRPr="009B381E">
              <w:rPr>
                <w:lang w:eastAsia="en-GB"/>
              </w:rPr>
              <w:t>la nivelul beneficiarilor autorități publice locale este necesară reglementarea  a ceea ce se cuprinde în bugetul acestora.</w:t>
            </w:r>
          </w:p>
          <w:p w14:paraId="336ECAD9" w14:textId="3C68B655" w:rsidR="00B906E1" w:rsidRPr="009B381E" w:rsidRDefault="00B906E1" w:rsidP="00805594">
            <w:pPr>
              <w:autoSpaceDE w:val="0"/>
              <w:autoSpaceDN w:val="0"/>
              <w:adjustRightInd w:val="0"/>
              <w:ind w:firstLine="317"/>
              <w:jc w:val="both"/>
              <w:rPr>
                <w:lang w:eastAsia="en-GB"/>
              </w:rPr>
            </w:pPr>
            <w:r w:rsidRPr="009B381E">
              <w:rPr>
                <w:lang w:eastAsia="en-GB"/>
              </w:rPr>
              <w:t xml:space="preserve">În vederea asigurării disponibilităților de plată pentru proiectele implementate în parteneriat, la nivelul beneficiarilor autorități publice centrale și locale pentru </w:t>
            </w:r>
            <w:r w:rsidRPr="009B381E">
              <w:rPr>
                <w:lang w:eastAsia="en-GB"/>
              </w:rPr>
              <w:lastRenderedPageBreak/>
              <w:t>furnizori în cadrul proiectelor finanțate din fonduri europene, este necesară reglementarea a ceea ce se cuprinde în bugetul propriu de către liderul de parteneriat, precum şi de către partenerii acestuia.</w:t>
            </w:r>
          </w:p>
          <w:p w14:paraId="03D1754F" w14:textId="303E6C62" w:rsidR="00555D3D" w:rsidRPr="009B381E" w:rsidRDefault="00B906E1" w:rsidP="00805594">
            <w:pPr>
              <w:autoSpaceDE w:val="0"/>
              <w:autoSpaceDN w:val="0"/>
              <w:adjustRightInd w:val="0"/>
              <w:ind w:firstLine="317"/>
              <w:jc w:val="both"/>
              <w:rPr>
                <w:lang w:eastAsia="en-GB"/>
              </w:rPr>
            </w:pPr>
            <w:r w:rsidRPr="009B381E">
              <w:rPr>
                <w:lang w:eastAsia="en-GB"/>
              </w:rPr>
              <w:t>În vederea  asigurării unei bune gestiuni financiare a fondurilor, este necesară reglementarea condițiilor de stabilire a propunerilor de credite de angajament şi de credite bugetare pentru beneficiarii autorități publice centrale și locale și a parteneriatelor acestora.</w:t>
            </w:r>
          </w:p>
          <w:p w14:paraId="507690EE" w14:textId="35822632" w:rsidR="009C2D1E" w:rsidRPr="009B381E" w:rsidRDefault="008D4B12" w:rsidP="009C2D1E">
            <w:pPr>
              <w:autoSpaceDE w:val="0"/>
              <w:autoSpaceDN w:val="0"/>
              <w:adjustRightInd w:val="0"/>
              <w:ind w:firstLine="317"/>
              <w:jc w:val="both"/>
            </w:pPr>
            <w:r w:rsidRPr="009B381E">
              <w:t>În vederea asigurării disponibilităților de plată pentru beneficiarii proiectelor finanțate din fonduri europene, precum și a sumelor necesare pentru finanțarea de la bugetul de stat  a diverselor situații particulare, este necesară reglementarea a ceea ce se cuprinde în bugetul ordonatorilor principali de credite cu rol de autoritate de management.</w:t>
            </w:r>
          </w:p>
          <w:p w14:paraId="4C3DA93D" w14:textId="03556C8D" w:rsidR="008D4B12" w:rsidRDefault="008D4B12" w:rsidP="00805594">
            <w:pPr>
              <w:autoSpaceDE w:val="0"/>
              <w:autoSpaceDN w:val="0"/>
              <w:adjustRightInd w:val="0"/>
              <w:ind w:firstLine="317"/>
              <w:jc w:val="both"/>
            </w:pPr>
            <w:r w:rsidRPr="009B381E">
              <w:t xml:space="preserve">În vederea asigurării disponibilităților de plată pentru beneficiarii proiectelor finanțate din fonduri europene, precum și a sumelor necesare pentru finanțarea de la bugetul de stat  a diverselor situații particulare, este necesară reglementarea a ceea ce se asigură prin bugetul Ministerului Finanțelor, pentru Agențiile de Dezvoltare Regională în calitate de autorități de management pentru </w:t>
            </w:r>
            <w:r w:rsidR="00300E1C">
              <w:t>P</w:t>
            </w:r>
            <w:r w:rsidRPr="009B381E">
              <w:t xml:space="preserve">rogramele </w:t>
            </w:r>
            <w:r w:rsidR="00300E1C">
              <w:t>O</w:t>
            </w:r>
            <w:r w:rsidRPr="009B381E">
              <w:t xml:space="preserve">peraționale </w:t>
            </w:r>
            <w:r w:rsidR="00300E1C">
              <w:t>R</w:t>
            </w:r>
            <w:r w:rsidRPr="009B381E">
              <w:t>egionale.</w:t>
            </w:r>
          </w:p>
          <w:p w14:paraId="310BF66B" w14:textId="24123C99" w:rsidR="002D214D" w:rsidRPr="009B381E" w:rsidRDefault="002D214D" w:rsidP="00583D6C">
            <w:pPr>
              <w:autoSpaceDE w:val="0"/>
              <w:autoSpaceDN w:val="0"/>
              <w:adjustRightInd w:val="0"/>
              <w:ind w:firstLine="317"/>
              <w:jc w:val="both"/>
            </w:pPr>
            <w:r w:rsidRPr="000C614B">
              <w:t>Având în vedere faptul că Societatea de Conservare şi Închidere a Minelor „CONVERSMIN“ - S.A. Bucureşti este un operator economic, cu rol în implementarea proiectelor cu finanțare din fonduri europene, care funcţionează sub autoritatea Ministerului Economiei</w:t>
            </w:r>
            <w:r w:rsidR="00583D6C">
              <w:t xml:space="preserve"> </w:t>
            </w:r>
            <w:r w:rsidR="00990429" w:rsidRPr="00990429">
              <w:t xml:space="preserve">este necesară reglementarea cuprinderii in bugetului acestui minister </w:t>
            </w:r>
            <w:r w:rsidRPr="000C614B">
              <w:t>a sumelor aferente proiectelor de închidere şi ecologizare a obiectivelor miniere aprobate la închidere prin hotărâri ale Guvernului, înscrise în inventarul naţional al siturilor contaminate/potenţial contaminate gestionat de către Agenţia Naţională pentru Protecţia Mediului.</w:t>
            </w:r>
          </w:p>
          <w:p w14:paraId="05DA2E5F" w14:textId="7525FAF0" w:rsidR="008D4B12" w:rsidRPr="009B381E" w:rsidRDefault="008D4B12" w:rsidP="00805594">
            <w:pPr>
              <w:autoSpaceDE w:val="0"/>
              <w:autoSpaceDN w:val="0"/>
              <w:adjustRightInd w:val="0"/>
              <w:ind w:firstLine="317"/>
              <w:jc w:val="both"/>
            </w:pPr>
            <w:r w:rsidRPr="009B381E">
              <w:t>În vederea asigurării disponibilităților de plată pentru asigurarea prefinanţării proiectelor pentru beneficiari şi/sau continu</w:t>
            </w:r>
            <w:r w:rsidR="009C2D1E">
              <w:t>a</w:t>
            </w:r>
            <w:r w:rsidRPr="009B381E">
              <w:t xml:space="preserve">rea finanţării proiectelor în cazul indisponibilităţii temporare a fondurilor europene, pentru finantarea cheltuielilor aferente transferului de fonduri din conturile Ministerului Finanţelor în conturile autorităților de management și pentru finanţarea diferenţelor nefavorabile de curs valutar, aferente operaţiunilor financiare efectuate de Autoritatea de </w:t>
            </w:r>
            <w:r w:rsidR="00300E1C">
              <w:t>C</w:t>
            </w:r>
            <w:r w:rsidRPr="009B381E">
              <w:t xml:space="preserve">ertificare și </w:t>
            </w:r>
            <w:r w:rsidR="00300E1C">
              <w:t>P</w:t>
            </w:r>
            <w:r w:rsidRPr="009B381E">
              <w:t>lată, este necesară reglementarea a ceea ce se cuprinde în bugetul Ministerului Finanţelor - Acţiuni generale, la o poziţie globală distinctă.</w:t>
            </w:r>
          </w:p>
          <w:p w14:paraId="6470BEEB" w14:textId="003BE306" w:rsidR="008D4B12" w:rsidRDefault="008D4B12" w:rsidP="00805594">
            <w:pPr>
              <w:autoSpaceDE w:val="0"/>
              <w:autoSpaceDN w:val="0"/>
              <w:adjustRightInd w:val="0"/>
              <w:ind w:firstLine="317"/>
              <w:jc w:val="both"/>
            </w:pPr>
            <w:r w:rsidRPr="009B381E">
              <w:t>Este necesară reglementarea titlului din clasificaţia bugetară în care se includ propunerile de credite de angajament şi bugetare prevăzute la articolele sus-menționat și al managementului financiar al  contribuției publice naționale totale, pentru ca aceste credite să fie exclusiv destinate proiectelor finanțate din fonduri europene.</w:t>
            </w:r>
          </w:p>
          <w:p w14:paraId="6A8F13ED" w14:textId="73B744DE" w:rsidR="005F2815" w:rsidRDefault="005F2815" w:rsidP="005F2815">
            <w:pPr>
              <w:pStyle w:val="CommentText"/>
              <w:ind w:firstLine="316"/>
              <w:jc w:val="both"/>
              <w:rPr>
                <w:sz w:val="24"/>
                <w:szCs w:val="24"/>
              </w:rPr>
            </w:pPr>
            <w:r w:rsidRPr="005F2815">
              <w:rPr>
                <w:sz w:val="24"/>
                <w:szCs w:val="24"/>
              </w:rPr>
              <w:t>Este necesar</w:t>
            </w:r>
            <w:r w:rsidR="00ED006E">
              <w:rPr>
                <w:sz w:val="24"/>
                <w:szCs w:val="24"/>
              </w:rPr>
              <w:t>ă</w:t>
            </w:r>
            <w:r w:rsidRPr="005F2815">
              <w:rPr>
                <w:sz w:val="24"/>
                <w:szCs w:val="24"/>
              </w:rPr>
              <w:t xml:space="preserve"> </w:t>
            </w:r>
            <w:r>
              <w:rPr>
                <w:sz w:val="24"/>
                <w:szCs w:val="24"/>
              </w:rPr>
              <w:t xml:space="preserve">includerea în bugetele ordonatorilor principali de credite cu rol de autoritate de management a sumelor </w:t>
            </w:r>
            <w:r w:rsidRPr="005F2815">
              <w:rPr>
                <w:sz w:val="24"/>
                <w:szCs w:val="24"/>
              </w:rPr>
              <w:t>pentru finanțarea contravalorii taxei pe valoarea adăugată neeligibile plătite, aferente cheltuielilor eligibile efectuate în cadrul proiectelor finanțate din fonduri europene din sectoarele de mediu și energie</w:t>
            </w:r>
            <w:r w:rsidRPr="008D0751">
              <w:rPr>
                <w:sz w:val="24"/>
                <w:szCs w:val="24"/>
              </w:rPr>
              <w:t>, pentru operatorii regionali de apă</w:t>
            </w:r>
            <w:r>
              <w:rPr>
                <w:sz w:val="24"/>
                <w:szCs w:val="24"/>
              </w:rPr>
              <w:t>,</w:t>
            </w:r>
            <w:r w:rsidRPr="005F2815">
              <w:rPr>
                <w:sz w:val="24"/>
                <w:szCs w:val="24"/>
              </w:rPr>
              <w:t xml:space="preserve"> pentru </w:t>
            </w:r>
            <w:r w:rsidR="00ED006E">
              <w:rPr>
                <w:sz w:val="24"/>
                <w:szCs w:val="24"/>
              </w:rPr>
              <w:t xml:space="preserve">a </w:t>
            </w:r>
            <w:r w:rsidRPr="005F2815">
              <w:rPr>
                <w:sz w:val="24"/>
                <w:szCs w:val="24"/>
              </w:rPr>
              <w:t xml:space="preserve">asigura </w:t>
            </w:r>
            <w:r w:rsidR="00935D53">
              <w:rPr>
                <w:sz w:val="24"/>
                <w:szCs w:val="24"/>
              </w:rPr>
              <w:t>premisele pentru</w:t>
            </w:r>
            <w:r w:rsidRPr="005F2815">
              <w:rPr>
                <w:sz w:val="24"/>
                <w:szCs w:val="24"/>
              </w:rPr>
              <w:t xml:space="preserve"> continuarea proiectelor preluate din perioada de programare 2014-2020 în perioada de programare 2021-2027, în conformitate cu prevederile art.118 din Regulamentul (UE) nr. 1060/2021. </w:t>
            </w:r>
            <w:r w:rsidR="00935D53">
              <w:rPr>
                <w:sz w:val="24"/>
                <w:szCs w:val="24"/>
              </w:rPr>
              <w:t xml:space="preserve">Aceeași abordare se impune </w:t>
            </w:r>
            <w:r w:rsidR="00ED006E">
              <w:rPr>
                <w:sz w:val="24"/>
                <w:szCs w:val="24"/>
              </w:rPr>
              <w:t>ș</w:t>
            </w:r>
            <w:r w:rsidRPr="005F2815">
              <w:rPr>
                <w:sz w:val="24"/>
                <w:szCs w:val="24"/>
              </w:rPr>
              <w:t xml:space="preserve">i pentru proiectele noi pentru a avea </w:t>
            </w:r>
            <w:r w:rsidR="00935D53">
              <w:rPr>
                <w:sz w:val="24"/>
                <w:szCs w:val="24"/>
              </w:rPr>
              <w:t xml:space="preserve">o </w:t>
            </w:r>
            <w:r w:rsidRPr="005F2815">
              <w:rPr>
                <w:sz w:val="24"/>
                <w:szCs w:val="24"/>
              </w:rPr>
              <w:t>abordare unitar</w:t>
            </w:r>
            <w:r w:rsidR="00935D53">
              <w:rPr>
                <w:sz w:val="24"/>
                <w:szCs w:val="24"/>
              </w:rPr>
              <w:t>ă</w:t>
            </w:r>
            <w:r w:rsidRPr="005F2815">
              <w:rPr>
                <w:sz w:val="24"/>
                <w:szCs w:val="24"/>
              </w:rPr>
              <w:t xml:space="preserve"> la nivel de </w:t>
            </w:r>
            <w:r w:rsidR="00935D53">
              <w:rPr>
                <w:sz w:val="24"/>
                <w:szCs w:val="24"/>
              </w:rPr>
              <w:t>program operațional</w:t>
            </w:r>
            <w:r w:rsidRPr="005F2815">
              <w:rPr>
                <w:sz w:val="24"/>
                <w:szCs w:val="24"/>
              </w:rPr>
              <w:t>. Necesitatea este determinat</w:t>
            </w:r>
            <w:r w:rsidR="00ED006E">
              <w:rPr>
                <w:sz w:val="24"/>
                <w:szCs w:val="24"/>
              </w:rPr>
              <w:t xml:space="preserve">ă </w:t>
            </w:r>
            <w:r w:rsidRPr="005F2815">
              <w:rPr>
                <w:sz w:val="24"/>
                <w:szCs w:val="24"/>
              </w:rPr>
              <w:t>de lipsa resurselor financiare la nivelul autorităților publice locale/operatorii de ap</w:t>
            </w:r>
            <w:r w:rsidR="00ED006E">
              <w:rPr>
                <w:sz w:val="24"/>
                <w:szCs w:val="24"/>
              </w:rPr>
              <w:t>ă</w:t>
            </w:r>
            <w:r w:rsidRPr="005F2815">
              <w:rPr>
                <w:sz w:val="24"/>
                <w:szCs w:val="24"/>
              </w:rPr>
              <w:t>/ap</w:t>
            </w:r>
            <w:r w:rsidR="00ED006E">
              <w:rPr>
                <w:sz w:val="24"/>
                <w:szCs w:val="24"/>
              </w:rPr>
              <w:t>ă</w:t>
            </w:r>
            <w:r w:rsidRPr="005F2815">
              <w:rPr>
                <w:sz w:val="24"/>
                <w:szCs w:val="24"/>
              </w:rPr>
              <w:t xml:space="preserve"> uzat</w:t>
            </w:r>
            <w:r w:rsidR="00ED006E">
              <w:rPr>
                <w:sz w:val="24"/>
                <w:szCs w:val="24"/>
              </w:rPr>
              <w:t>ă</w:t>
            </w:r>
            <w:r w:rsidRPr="005F2815">
              <w:rPr>
                <w:sz w:val="24"/>
                <w:szCs w:val="24"/>
              </w:rPr>
              <w:t>, TVA-ul reprezentând o contribuție suplimentar</w:t>
            </w:r>
            <w:r w:rsidR="00ED006E">
              <w:rPr>
                <w:sz w:val="24"/>
                <w:szCs w:val="24"/>
              </w:rPr>
              <w:t>ă</w:t>
            </w:r>
            <w:r w:rsidRPr="005F2815">
              <w:rPr>
                <w:sz w:val="24"/>
                <w:szCs w:val="24"/>
              </w:rPr>
              <w:t xml:space="preserve"> din valoarea total</w:t>
            </w:r>
            <w:r w:rsidR="00ED006E">
              <w:rPr>
                <w:sz w:val="24"/>
                <w:szCs w:val="24"/>
              </w:rPr>
              <w:t>ă</w:t>
            </w:r>
            <w:r w:rsidRPr="005F2815">
              <w:rPr>
                <w:sz w:val="24"/>
                <w:szCs w:val="24"/>
              </w:rPr>
              <w:t xml:space="preserve"> eligibil</w:t>
            </w:r>
            <w:r w:rsidR="00ED006E">
              <w:rPr>
                <w:sz w:val="24"/>
                <w:szCs w:val="24"/>
              </w:rPr>
              <w:t>ă</w:t>
            </w:r>
            <w:r w:rsidRPr="005F2815">
              <w:rPr>
                <w:sz w:val="24"/>
                <w:szCs w:val="24"/>
              </w:rPr>
              <w:t>, al</w:t>
            </w:r>
            <w:r w:rsidR="00ED006E">
              <w:rPr>
                <w:sz w:val="24"/>
                <w:szCs w:val="24"/>
              </w:rPr>
              <w:t>ă</w:t>
            </w:r>
            <w:r w:rsidRPr="005F2815">
              <w:rPr>
                <w:sz w:val="24"/>
                <w:szCs w:val="24"/>
              </w:rPr>
              <w:t xml:space="preserve">turi de contribuția proprie la </w:t>
            </w:r>
            <w:r w:rsidRPr="005F2815">
              <w:rPr>
                <w:sz w:val="24"/>
                <w:szCs w:val="24"/>
              </w:rPr>
              <w:lastRenderedPageBreak/>
              <w:t xml:space="preserve">costurile totale eligibile determinate </w:t>
            </w:r>
            <w:r w:rsidR="00ED006E">
              <w:rPr>
                <w:sz w:val="24"/>
                <w:szCs w:val="24"/>
              </w:rPr>
              <w:t>î</w:t>
            </w:r>
            <w:r w:rsidRPr="005F2815">
              <w:rPr>
                <w:sz w:val="24"/>
                <w:szCs w:val="24"/>
              </w:rPr>
              <w:t xml:space="preserve">n urma analizei cost beneficiu pentru proiectele din sectorul de mediu sau </w:t>
            </w:r>
            <w:r w:rsidR="00ED006E">
              <w:rPr>
                <w:sz w:val="24"/>
                <w:szCs w:val="24"/>
              </w:rPr>
              <w:t>î</w:t>
            </w:r>
            <w:r w:rsidRPr="005F2815">
              <w:rPr>
                <w:sz w:val="24"/>
                <w:szCs w:val="24"/>
              </w:rPr>
              <w:t>n urma aplic</w:t>
            </w:r>
            <w:r w:rsidR="00ED006E">
              <w:rPr>
                <w:sz w:val="24"/>
                <w:szCs w:val="24"/>
              </w:rPr>
              <w:t>ă</w:t>
            </w:r>
            <w:r w:rsidRPr="005F2815">
              <w:rPr>
                <w:sz w:val="24"/>
                <w:szCs w:val="24"/>
              </w:rPr>
              <w:t>rii regulilor de ajutor de stat pentru sectorul de energie</w:t>
            </w:r>
            <w:r>
              <w:rPr>
                <w:sz w:val="24"/>
                <w:szCs w:val="24"/>
              </w:rPr>
              <w:t>.</w:t>
            </w:r>
          </w:p>
          <w:p w14:paraId="46365E5E" w14:textId="1A39694A" w:rsidR="008D0751" w:rsidRPr="008D0751" w:rsidRDefault="005F2815" w:rsidP="008D0751">
            <w:pPr>
              <w:pStyle w:val="CommentText"/>
              <w:ind w:firstLine="316"/>
              <w:jc w:val="both"/>
              <w:rPr>
                <w:sz w:val="24"/>
                <w:szCs w:val="24"/>
              </w:rPr>
            </w:pPr>
            <w:r w:rsidRPr="005F2815">
              <w:rPr>
                <w:sz w:val="24"/>
                <w:szCs w:val="24"/>
              </w:rPr>
              <w:t>Este necesar</w:t>
            </w:r>
            <w:r w:rsidR="00C7228F">
              <w:rPr>
                <w:sz w:val="24"/>
                <w:szCs w:val="24"/>
              </w:rPr>
              <w:t>ă</w:t>
            </w:r>
            <w:r w:rsidRPr="005F2815">
              <w:rPr>
                <w:sz w:val="24"/>
                <w:szCs w:val="24"/>
              </w:rPr>
              <w:t xml:space="preserve"> </w:t>
            </w:r>
            <w:r>
              <w:rPr>
                <w:sz w:val="24"/>
                <w:szCs w:val="24"/>
              </w:rPr>
              <w:t>includerea în bugetele ordonatorilor principali de credite cu rol de autoritate de management a sumelor</w:t>
            </w:r>
            <w:r w:rsidR="008D0751">
              <w:rPr>
                <w:sz w:val="24"/>
                <w:szCs w:val="24"/>
              </w:rPr>
              <w:t xml:space="preserve"> necesare</w:t>
            </w:r>
            <w:r>
              <w:rPr>
                <w:sz w:val="24"/>
                <w:szCs w:val="24"/>
              </w:rPr>
              <w:t xml:space="preserve"> </w:t>
            </w:r>
            <w:r w:rsidR="008D0751" w:rsidRPr="008D0751">
              <w:rPr>
                <w:sz w:val="24"/>
                <w:szCs w:val="24"/>
              </w:rPr>
              <w:t>pentru finanțarea ratei forfetare</w:t>
            </w:r>
            <w:r w:rsidR="008D0751">
              <w:rPr>
                <w:sz w:val="24"/>
                <w:szCs w:val="24"/>
              </w:rPr>
              <w:t xml:space="preserve"> precum și sumele </w:t>
            </w:r>
            <w:r w:rsidR="008D0751" w:rsidRPr="008D0751">
              <w:rPr>
                <w:sz w:val="24"/>
                <w:szCs w:val="24"/>
              </w:rPr>
              <w:t xml:space="preserve">aferente diferenţei dintre procentul contribuţiei proprii şi procentul echivalent al ratei forfetare pentru a se asigura continuarea proiectelor preluate din perioada de programare 2014-2020 în perioada de programare 2021-2027, precum </w:t>
            </w:r>
            <w:r w:rsidR="00C7228F">
              <w:rPr>
                <w:sz w:val="24"/>
                <w:szCs w:val="24"/>
              </w:rPr>
              <w:t>ș</w:t>
            </w:r>
            <w:r w:rsidR="008D0751" w:rsidRPr="008D0751">
              <w:rPr>
                <w:sz w:val="24"/>
                <w:szCs w:val="24"/>
              </w:rPr>
              <w:t>i aplicarea acelora</w:t>
            </w:r>
            <w:r w:rsidR="00C7228F">
              <w:rPr>
                <w:sz w:val="24"/>
                <w:szCs w:val="24"/>
              </w:rPr>
              <w:t>ș</w:t>
            </w:r>
            <w:r w:rsidR="008D0751" w:rsidRPr="008D0751">
              <w:rPr>
                <w:sz w:val="24"/>
                <w:szCs w:val="24"/>
              </w:rPr>
              <w:t xml:space="preserve">i aranjamente financiare pentru proiectele noi. </w:t>
            </w:r>
          </w:p>
          <w:p w14:paraId="5246855F" w14:textId="4A370B10" w:rsidR="008D4B12" w:rsidRDefault="008D4B12" w:rsidP="00805594">
            <w:pPr>
              <w:autoSpaceDE w:val="0"/>
              <w:autoSpaceDN w:val="0"/>
              <w:adjustRightInd w:val="0"/>
              <w:ind w:firstLine="317"/>
              <w:jc w:val="both"/>
            </w:pPr>
            <w:r w:rsidRPr="009B381E">
              <w:t xml:space="preserve">În vederea asigurării premiselor pentru atingerea țintei de absorbție de 100%, este necesară reglementarea condițiilor în care autoritățile de management sunt autorizate să încheie/să emită contracte/decizii/ordine de finanţare a căror valoare poate determina depăşirea sumelor alocate în euro, la nivel de program din </w:t>
            </w:r>
            <w:r w:rsidRPr="009B381E">
              <w:rPr>
                <w:rFonts w:eastAsia="Arial"/>
              </w:rPr>
              <w:t xml:space="preserve">Fondul European de Dezvoltare Regională, Fondul de Coeziune, Fondul Social European Plus, Fondul pentru Tranziție Justă, </w:t>
            </w:r>
            <w:r w:rsidRPr="009B381E">
              <w:t>şi cofinanţare de la bugetul de stat.</w:t>
            </w:r>
          </w:p>
          <w:p w14:paraId="117BFA11" w14:textId="75D15234" w:rsidR="00406B07" w:rsidRPr="00A674A7" w:rsidRDefault="00406B07" w:rsidP="00406B07">
            <w:pPr>
              <w:spacing w:after="120"/>
              <w:ind w:firstLine="226"/>
              <w:jc w:val="both"/>
              <w:rPr>
                <w:lang w:eastAsia="ro-RO"/>
              </w:rPr>
            </w:pPr>
            <w:r w:rsidRPr="00A674A7">
              <w:rPr>
                <w:lang w:eastAsia="ro-RO"/>
              </w:rPr>
              <w:t xml:space="preserve">Din analiza rezultatelor implementării proiectelor în perioada 2014 -2020 a rezultat faptul că </w:t>
            </w:r>
            <w:r w:rsidRPr="00A674A7">
              <w:t xml:space="preserve">pentru evitarea </w:t>
            </w:r>
            <w:r w:rsidRPr="00A674A7">
              <w:rPr>
                <w:rFonts w:eastAsiaTheme="minorHAnsi"/>
                <w:lang w:eastAsia="ro-RO"/>
              </w:rPr>
              <w:t xml:space="preserve">înregistrării </w:t>
            </w:r>
            <w:r w:rsidRPr="00A674A7">
              <w:rPr>
                <w:lang w:eastAsia="ro-RO"/>
              </w:rPr>
              <w:t xml:space="preserve">unor </w:t>
            </w:r>
            <w:r w:rsidRPr="00A674A7">
              <w:rPr>
                <w:rFonts w:eastAsiaTheme="minorHAnsi"/>
                <w:lang w:eastAsia="ro-RO"/>
              </w:rPr>
              <w:t xml:space="preserve">blocaje sau </w:t>
            </w:r>
            <w:r w:rsidRPr="00A674A7">
              <w:rPr>
                <w:lang w:eastAsia="ro-RO"/>
              </w:rPr>
              <w:t>întârzieri în derularea operațiunilor, precum și  pentru evitarea riscului de dezangajare a fost</w:t>
            </w:r>
            <w:r w:rsidRPr="00A674A7">
              <w:rPr>
                <w:rFonts w:eastAsiaTheme="minorHAnsi"/>
                <w:lang w:eastAsia="ro-RO"/>
              </w:rPr>
              <w:t xml:space="preserve"> necesară extinderea procentului de supracontractare</w:t>
            </w:r>
            <w:r w:rsidRPr="00A674A7">
              <w:rPr>
                <w:lang w:eastAsia="ro-RO"/>
              </w:rPr>
              <w:t xml:space="preserve"> la nivel de program, </w:t>
            </w:r>
            <w:r w:rsidRPr="00A674A7">
              <w:rPr>
                <w:rFonts w:eastAsiaTheme="minorHAnsi"/>
                <w:lang w:eastAsia="ro-RO"/>
              </w:rPr>
              <w:t>astfel încât la finalul perioadei de eligibilitate</w:t>
            </w:r>
            <w:r w:rsidR="00935D53">
              <w:rPr>
                <w:rFonts w:eastAsiaTheme="minorHAnsi"/>
                <w:lang w:eastAsia="ro-RO"/>
              </w:rPr>
              <w:t>,</w:t>
            </w:r>
            <w:r w:rsidRPr="00A674A7">
              <w:rPr>
                <w:rFonts w:eastAsiaTheme="minorHAnsi"/>
                <w:lang w:eastAsia="ro-RO"/>
              </w:rPr>
              <w:t xml:space="preserve"> Romania să utilizeze în întregime fondurile alocate</w:t>
            </w:r>
            <w:r w:rsidR="00935D53">
              <w:rPr>
                <w:rFonts w:eastAsiaTheme="minorHAnsi"/>
                <w:lang w:eastAsia="ro-RO"/>
              </w:rPr>
              <w:t xml:space="preserve"> prin</w:t>
            </w:r>
            <w:r w:rsidRPr="00A674A7">
              <w:rPr>
                <w:rFonts w:eastAsiaTheme="minorHAnsi"/>
                <w:lang w:eastAsia="ro-RO"/>
              </w:rPr>
              <w:t xml:space="preserve"> program</w:t>
            </w:r>
            <w:r w:rsidRPr="00A674A7">
              <w:rPr>
                <w:lang w:eastAsia="ro-RO"/>
              </w:rPr>
              <w:t>el</w:t>
            </w:r>
            <w:r w:rsidR="00935D53">
              <w:rPr>
                <w:lang w:eastAsia="ro-RO"/>
              </w:rPr>
              <w:t>e</w:t>
            </w:r>
            <w:r w:rsidRPr="00A674A7">
              <w:rPr>
                <w:lang w:eastAsia="ro-RO"/>
              </w:rPr>
              <w:t>r operaționale</w:t>
            </w:r>
            <w:r w:rsidRPr="00A674A7">
              <w:rPr>
                <w:rFonts w:eastAsiaTheme="minorHAnsi"/>
                <w:lang w:eastAsia="ro-RO"/>
              </w:rPr>
              <w:t>.</w:t>
            </w:r>
          </w:p>
          <w:p w14:paraId="201B1871" w14:textId="33EEF488" w:rsidR="00406B07" w:rsidRPr="00406B07" w:rsidRDefault="00406B07" w:rsidP="00406B07">
            <w:pPr>
              <w:pStyle w:val="Default"/>
              <w:spacing w:after="120"/>
              <w:ind w:firstLine="226"/>
              <w:jc w:val="both"/>
              <w:rPr>
                <w:rFonts w:ascii="Times New Roman" w:hAnsi="Times New Roman" w:cs="Times New Roman"/>
                <w:color w:val="auto"/>
                <w:lang w:val="ro-RO"/>
              </w:rPr>
            </w:pPr>
            <w:r w:rsidRPr="00406B07">
              <w:rPr>
                <w:rFonts w:ascii="Times New Roman" w:hAnsi="Times New Roman" w:cs="Times New Roman"/>
                <w:color w:val="auto"/>
                <w:lang w:val="ro-RO"/>
              </w:rPr>
              <w:t>Pentru perioada de programare 2021-2027, o</w:t>
            </w:r>
            <w:r w:rsidRPr="00406B07">
              <w:rPr>
                <w:rFonts w:ascii="Times New Roman" w:hAnsi="Times New Roman" w:cs="Times New Roman"/>
                <w:lang w:val="ro-RO" w:eastAsia="ro-RO"/>
              </w:rPr>
              <w:t xml:space="preserve">perațiunile finanțate prin FEDR și FC </w:t>
            </w:r>
            <w:r w:rsidRPr="00406B07">
              <w:rPr>
                <w:rFonts w:ascii="Times New Roman" w:hAnsi="Times New Roman" w:cs="Times New Roman"/>
                <w:lang w:val="ro-RO"/>
              </w:rPr>
              <w:t>promovează dezvoltarea rețelelor transeuropene de transport, prin investiții în infrastructura pentru transportul feroviar, transportul pe căi navigabile interioare, transportul rutier, transportul maritim și transportul multinodal; sprijină mobilitatea națională, regională și locală, transfrontalieră și urbană și își propun să contribuie la reducerea emisiilor de gaze cu efect de seră și la abordarea problemei reprezentate de sărăcia energetică, prin realizarea de investiții în eficiența energetică, inclusiv în programele de economisire a energiei, în energia durabilă din surse regenerabile</w:t>
            </w:r>
            <w:r w:rsidRPr="00406B07">
              <w:rPr>
                <w:rFonts w:ascii="Times New Roman" w:hAnsi="Times New Roman" w:cs="Times New Roman"/>
                <w:lang w:val="ro-RO" w:eastAsia="ro-RO"/>
              </w:rPr>
              <w:t>.</w:t>
            </w:r>
            <w:r>
              <w:rPr>
                <w:rFonts w:ascii="Times New Roman" w:hAnsi="Times New Roman" w:cs="Times New Roman"/>
                <w:lang w:val="ro-RO" w:eastAsia="ro-RO"/>
              </w:rPr>
              <w:t xml:space="preserve"> </w:t>
            </w:r>
            <w:r w:rsidRPr="00406B07">
              <w:rPr>
                <w:rFonts w:ascii="Times New Roman" w:hAnsi="Times New Roman" w:cs="Times New Roman"/>
                <w:color w:val="auto"/>
                <w:lang w:val="ro-RO"/>
              </w:rPr>
              <w:t xml:space="preserve">De asemenea, FEDR sprijină turismul durabil într-un mod integrat, în special prin consolidarea cooperării în cadrul teritoriilor funcționale </w:t>
            </w:r>
          </w:p>
          <w:p w14:paraId="4A8571E7" w14:textId="77777777" w:rsidR="00406B07" w:rsidRPr="00406B07" w:rsidRDefault="00406B07" w:rsidP="00406B07">
            <w:pPr>
              <w:pStyle w:val="Default"/>
              <w:spacing w:after="120"/>
              <w:ind w:firstLine="226"/>
              <w:jc w:val="both"/>
              <w:rPr>
                <w:rFonts w:ascii="Times New Roman" w:hAnsi="Times New Roman" w:cs="Times New Roman"/>
                <w:lang w:val="ro-RO"/>
              </w:rPr>
            </w:pPr>
            <w:r w:rsidRPr="00406B07">
              <w:rPr>
                <w:rFonts w:ascii="Times New Roman" w:hAnsi="Times New Roman" w:cs="Times New Roman"/>
                <w:color w:val="auto"/>
                <w:lang w:val="ro-RO"/>
              </w:rPr>
              <w:t xml:space="preserve">Nu în ultimul rând, în vederea consolidării capacității sistemelor de sănătate publică de a preveni situațiile de urgență sanitară, de a răspunde rapid unor astfel de situații și de a se redresa în urma acestora, FEDR va contribui, de asemenea, la reziliența sistemelor de sănătate. </w:t>
            </w:r>
          </w:p>
          <w:p w14:paraId="7C6F965D" w14:textId="7A4B850E" w:rsidR="00406B07" w:rsidRPr="00406B07" w:rsidRDefault="00406B07" w:rsidP="00406B07">
            <w:pPr>
              <w:spacing w:after="120"/>
              <w:ind w:firstLine="316"/>
              <w:contextualSpacing/>
              <w:jc w:val="both"/>
              <w:rPr>
                <w:rFonts w:eastAsiaTheme="minorHAnsi"/>
              </w:rPr>
            </w:pPr>
            <w:r w:rsidRPr="00406B07">
              <w:rPr>
                <w:lang w:eastAsia="ro-RO"/>
              </w:rPr>
              <w:t xml:space="preserve">În consecință, pentru </w:t>
            </w:r>
            <w:r w:rsidR="001C2EA5">
              <w:rPr>
                <w:lang w:eastAsia="ro-RO"/>
              </w:rPr>
              <w:t>toate aceste</w:t>
            </w:r>
            <w:r w:rsidRPr="00406B07">
              <w:rPr>
                <w:lang w:eastAsia="ro-RO"/>
              </w:rPr>
              <w:t xml:space="preserve"> operațiuni trebuie luate măsuri din timp pentru a </w:t>
            </w:r>
            <w:r w:rsidR="001C2EA5">
              <w:rPr>
                <w:lang w:eastAsia="ro-RO"/>
              </w:rPr>
              <w:t xml:space="preserve"> asigura necesarul de cheltuieli care să fie solicitat spre rambursare Comisiei Europene</w:t>
            </w:r>
            <w:r w:rsidRPr="00406B07">
              <w:rPr>
                <w:lang w:eastAsia="ro-RO"/>
              </w:rPr>
              <w:t>,</w:t>
            </w:r>
            <w:r w:rsidR="001C2EA5">
              <w:rPr>
                <w:lang w:eastAsia="ro-RO"/>
              </w:rPr>
              <w:t xml:space="preserve"> pentru acoperirea integrală a alocărilor,</w:t>
            </w:r>
            <w:r w:rsidRPr="00406B07">
              <w:rPr>
                <w:lang w:eastAsia="ro-RO"/>
              </w:rPr>
              <w:t xml:space="preserve"> având în vedere că riscul de dezangajare a fost concentrat în zona proiectelor de infrastructură, fiind</w:t>
            </w:r>
            <w:r w:rsidRPr="00406B07">
              <w:rPr>
                <w:rFonts w:eastAsiaTheme="minorHAnsi"/>
              </w:rPr>
              <w:t xml:space="preserve"> n</w:t>
            </w:r>
            <w:r w:rsidRPr="00406B07">
              <w:t>ecesar</w:t>
            </w:r>
            <w:r w:rsidR="001C2EA5">
              <w:t xml:space="preserve"> </w:t>
            </w:r>
            <w:r w:rsidRPr="00406B07">
              <w:rPr>
                <w:rFonts w:eastAsiaTheme="minorHAnsi"/>
              </w:rPr>
              <w:t>cadrul</w:t>
            </w:r>
            <w:r w:rsidRPr="00406B07">
              <w:t>ui</w:t>
            </w:r>
            <w:r w:rsidRPr="00406B07">
              <w:rPr>
                <w:rFonts w:eastAsiaTheme="minorHAnsi"/>
              </w:rPr>
              <w:t xml:space="preserve"> legal </w:t>
            </w:r>
            <w:r w:rsidRPr="00406B07">
              <w:t xml:space="preserve">astfel încât autoritățile de management să fie autorizate să încheie/să emită contracte/decizii de finanțare a căror valoare poate determina depășirea cu 100% a sumelor alocate în euro, la nivelul de program. </w:t>
            </w:r>
          </w:p>
          <w:p w14:paraId="5FE859C1" w14:textId="108525D5" w:rsidR="00406B07" w:rsidRPr="00406B07" w:rsidRDefault="000C614B" w:rsidP="00E775D3">
            <w:pPr>
              <w:pStyle w:val="Default"/>
              <w:spacing w:after="120"/>
              <w:ind w:firstLine="316"/>
              <w:jc w:val="both"/>
              <w:rPr>
                <w:rFonts w:ascii="Times New Roman" w:hAnsi="Times New Roman" w:cs="Times New Roman"/>
                <w:lang w:val="ro-RO"/>
              </w:rPr>
            </w:pPr>
            <w:r>
              <w:rPr>
                <w:rFonts w:ascii="Times New Roman" w:hAnsi="Times New Roman" w:cs="Times New Roman"/>
                <w:lang w:val="ro-RO"/>
              </w:rPr>
              <w:t>L</w:t>
            </w:r>
            <w:r w:rsidR="004162F1">
              <w:rPr>
                <w:rFonts w:ascii="Times New Roman" w:hAnsi="Times New Roman" w:cs="Times New Roman"/>
                <w:lang w:val="ro-RO"/>
              </w:rPr>
              <w:t>uând în considerare specificul intervențiilor</w:t>
            </w:r>
            <w:r w:rsidR="004162F1" w:rsidRPr="00406B07">
              <w:rPr>
                <w:rFonts w:ascii="Times New Roman" w:hAnsi="Times New Roman" w:cs="Times New Roman"/>
                <w:color w:val="auto"/>
                <w:lang w:val="ro-RO"/>
              </w:rPr>
              <w:t xml:space="preserve"> </w:t>
            </w:r>
            <w:r w:rsidR="00406B07" w:rsidRPr="00406B07">
              <w:rPr>
                <w:rFonts w:ascii="Times New Roman" w:hAnsi="Times New Roman" w:cs="Times New Roman"/>
                <w:color w:val="auto"/>
                <w:lang w:val="ro-RO"/>
              </w:rPr>
              <w:t>finanțate prin FSE+</w:t>
            </w:r>
            <w:r w:rsidR="004162F1">
              <w:rPr>
                <w:rFonts w:ascii="Times New Roman" w:hAnsi="Times New Roman" w:cs="Times New Roman"/>
                <w:color w:val="auto"/>
                <w:lang w:val="ro-RO"/>
              </w:rPr>
              <w:t xml:space="preserve"> care vizează </w:t>
            </w:r>
            <w:r w:rsidR="00406B07" w:rsidRPr="00406B07">
              <w:rPr>
                <w:rFonts w:ascii="Times New Roman" w:hAnsi="Times New Roman" w:cs="Times New Roman"/>
                <w:color w:val="auto"/>
                <w:lang w:val="ro-RO"/>
              </w:rPr>
              <w:t xml:space="preserve">promovarea ocupării forței de muncă prin intervenții active care să permită integrarea și reintegrarea pe piața muncii, </w:t>
            </w:r>
            <w:r w:rsidR="00406B07" w:rsidRPr="00406B07">
              <w:rPr>
                <w:rFonts w:ascii="Times New Roman" w:hAnsi="Times New Roman" w:cs="Times New Roman"/>
                <w:lang w:val="ro-RO"/>
              </w:rPr>
              <w:t>acordarea de sprijin pentru îmbunătățirea calității, a caracterului incluziv, a eficacității și a relevanței pe piața muncii a sistemelor de educație și de formare, promovând accesul egal al tuturor la educație și formare profesională</w:t>
            </w:r>
            <w:r w:rsidR="004162F1">
              <w:rPr>
                <w:rFonts w:ascii="Times New Roman" w:hAnsi="Times New Roman" w:cs="Times New Roman"/>
                <w:lang w:val="ro-RO"/>
              </w:rPr>
              <w:t xml:space="preserve">, precum și celor de asistență tehnică pentru </w:t>
            </w:r>
            <w:r w:rsidR="004162F1">
              <w:rPr>
                <w:rFonts w:ascii="Times New Roman" w:hAnsi="Times New Roman" w:cs="Times New Roman"/>
                <w:lang w:val="ro-RO"/>
              </w:rPr>
              <w:lastRenderedPageBreak/>
              <w:t xml:space="preserve">susținerea capacității sistemelor de management și control ale programelor operaționale și pentru </w:t>
            </w:r>
            <w:r w:rsidR="004162F1" w:rsidRPr="004162F1">
              <w:rPr>
                <w:rFonts w:ascii="Times New Roman" w:hAnsi="Times New Roman" w:cs="Times New Roman"/>
                <w:lang w:val="ro-RO"/>
              </w:rPr>
              <w:t>creşterea capacităţii administrative a beneficiarilor</w:t>
            </w:r>
            <w:r w:rsidR="001C2EA5">
              <w:rPr>
                <w:rFonts w:ascii="Times New Roman" w:hAnsi="Times New Roman" w:cs="Times New Roman"/>
                <w:lang w:val="ro-RO"/>
              </w:rPr>
              <w:t xml:space="preserve">, </w:t>
            </w:r>
            <w:r w:rsidR="004162F1">
              <w:rPr>
                <w:rFonts w:ascii="Times New Roman" w:hAnsi="Times New Roman" w:cs="Times New Roman"/>
                <w:lang w:val="ro-RO"/>
              </w:rPr>
              <w:t>este propus un nivel de supracontractare de 50%</w:t>
            </w:r>
            <w:r>
              <w:rPr>
                <w:rFonts w:ascii="Times New Roman" w:hAnsi="Times New Roman" w:cs="Times New Roman"/>
                <w:lang w:val="ro-RO"/>
              </w:rPr>
              <w:t xml:space="preserve"> </w:t>
            </w:r>
            <w:r w:rsidRPr="000C614B">
              <w:rPr>
                <w:rFonts w:ascii="Times New Roman" w:hAnsi="Times New Roman" w:cs="Times New Roman"/>
                <w:lang w:val="ro-RO"/>
              </w:rPr>
              <w:t>pentru POEO, POIDS și POAT</w:t>
            </w:r>
            <w:r w:rsidR="00406B07" w:rsidRPr="00406B07">
              <w:rPr>
                <w:rFonts w:ascii="Times New Roman" w:hAnsi="Times New Roman" w:cs="Times New Roman"/>
                <w:lang w:val="ro-RO"/>
              </w:rPr>
              <w:t>.</w:t>
            </w:r>
            <w:r w:rsidR="004162F1">
              <w:rPr>
                <w:rFonts w:ascii="Times New Roman" w:hAnsi="Times New Roman" w:cs="Times New Roman"/>
                <w:lang w:val="ro-RO"/>
              </w:rPr>
              <w:t xml:space="preserve"> </w:t>
            </w:r>
          </w:p>
          <w:p w14:paraId="3EFA1906" w14:textId="072E5C2F" w:rsidR="008D4B12" w:rsidRPr="009B381E" w:rsidRDefault="00227A62" w:rsidP="00805594">
            <w:pPr>
              <w:autoSpaceDE w:val="0"/>
              <w:autoSpaceDN w:val="0"/>
              <w:adjustRightInd w:val="0"/>
              <w:ind w:firstLine="317"/>
              <w:jc w:val="both"/>
            </w:pPr>
            <w:r w:rsidRPr="00406B07">
              <w:t xml:space="preserve">Este necesară reglementarea obligației autorității de management de a reîntregi conturile Autorităţii de </w:t>
            </w:r>
            <w:r w:rsidR="00300E1C">
              <w:t>C</w:t>
            </w:r>
            <w:r w:rsidRPr="00406B07">
              <w:t>ertificare și Plată cu echivalentul sumelor deduse de către  Comisia Europeană, în cazul aplicării prevederilor art. 100 alin. (2) din Regulamentul (UE) nr. 1060/2021, la solicitarea</w:t>
            </w:r>
            <w:r w:rsidRPr="009B381E">
              <w:t xml:space="preserve"> Autorității de </w:t>
            </w:r>
            <w:r w:rsidR="00300E1C">
              <w:t>C</w:t>
            </w:r>
            <w:r w:rsidRPr="009B381E">
              <w:t xml:space="preserve">ertificare și </w:t>
            </w:r>
            <w:r w:rsidR="00300E1C">
              <w:t>P</w:t>
            </w:r>
            <w:r w:rsidRPr="009B381E">
              <w:t>lată.</w:t>
            </w:r>
          </w:p>
          <w:p w14:paraId="4A69DAC8" w14:textId="380636C3" w:rsidR="00227A62" w:rsidRPr="009B381E" w:rsidRDefault="00227A62" w:rsidP="00805594">
            <w:pPr>
              <w:autoSpaceDE w:val="0"/>
              <w:autoSpaceDN w:val="0"/>
              <w:adjustRightInd w:val="0"/>
              <w:ind w:firstLine="317"/>
              <w:jc w:val="both"/>
            </w:pPr>
            <w:r w:rsidRPr="009B381E">
              <w:t xml:space="preserve">Pentru reglementarea cazurilor în care la sfârşitul exerciţiului bugetar/la sfârșitul anului rămân disponibilități în conturile Autorităţii de </w:t>
            </w:r>
            <w:r w:rsidR="00300E1C">
              <w:t>C</w:t>
            </w:r>
            <w:r w:rsidRPr="009B381E">
              <w:t xml:space="preserve">ertificare și </w:t>
            </w:r>
            <w:r w:rsidR="00300E1C">
              <w:t>P</w:t>
            </w:r>
            <w:r w:rsidRPr="009B381E">
              <w:t xml:space="preserve">lată/autorităților de management/beneficiarilor instituţii publice, este necesară reglementarea </w:t>
            </w:r>
            <w:r w:rsidR="00EC15BB">
              <w:t xml:space="preserve">utilizării </w:t>
            </w:r>
            <w:r w:rsidR="00B166B5">
              <w:t xml:space="preserve">ulterioare a </w:t>
            </w:r>
            <w:r w:rsidRPr="009B381E">
              <w:t>acest</w:t>
            </w:r>
            <w:r w:rsidR="00B166B5">
              <w:t>ora</w:t>
            </w:r>
            <w:r w:rsidRPr="009B381E">
              <w:t xml:space="preserve">.  </w:t>
            </w:r>
          </w:p>
          <w:p w14:paraId="5B3C898C" w14:textId="0F8EE42E" w:rsidR="00227A62" w:rsidRDefault="00227A62" w:rsidP="00805594">
            <w:pPr>
              <w:autoSpaceDE w:val="0"/>
              <w:autoSpaceDN w:val="0"/>
              <w:adjustRightInd w:val="0"/>
              <w:ind w:firstLine="317"/>
              <w:jc w:val="both"/>
            </w:pPr>
            <w:r w:rsidRPr="009B381E">
              <w:t>În vederea asigurării disponibilităților de fonduri la nivelul beneficiarilor este necesară stabilirea mecanismului de acordare, justicare și restituire a prefinanțării acordate beneficiarilor.</w:t>
            </w:r>
          </w:p>
          <w:p w14:paraId="77D47540" w14:textId="7248E4AC" w:rsidR="00B452A3" w:rsidRPr="009B381E" w:rsidRDefault="00E70CBD" w:rsidP="00805594">
            <w:pPr>
              <w:autoSpaceDE w:val="0"/>
              <w:autoSpaceDN w:val="0"/>
              <w:adjustRightInd w:val="0"/>
              <w:ind w:firstLine="317"/>
              <w:jc w:val="both"/>
            </w:pPr>
            <w:r>
              <w:t>Se impune reglementar</w:t>
            </w:r>
            <w:r w:rsidR="00355320">
              <w:t>e</w:t>
            </w:r>
            <w:r>
              <w:t xml:space="preserve">a modului de acordare a tranșei de prefinanțare în cazul proiectelor implementate în parteneriat, respectiv stabilirea acordări iacesteia </w:t>
            </w:r>
            <w:r w:rsidRPr="00E70CBD">
              <w:t xml:space="preserve"> proporțional cu sumele aferente activităţilor </w:t>
            </w:r>
            <w:r>
              <w:t xml:space="preserve">fiecărui </w:t>
            </w:r>
            <w:r w:rsidRPr="00E70CBD">
              <w:t xml:space="preserve">partener din valoarea totală eligibilă a contractului de finanțare, </w:t>
            </w:r>
            <w:r>
              <w:t>sau</w:t>
            </w:r>
            <w:r w:rsidRPr="00E70CBD">
              <w:t xml:space="preserve"> cu ponderea ajutorului de stat/de minimis acordat </w:t>
            </w:r>
            <w:r>
              <w:t>fiecărui</w:t>
            </w:r>
            <w:r w:rsidRPr="00E70CBD">
              <w:t xml:space="preserve"> partener </w:t>
            </w:r>
            <w:r>
              <w:t>di</w:t>
            </w:r>
            <w:r w:rsidRPr="00E70CBD">
              <w:t>n total</w:t>
            </w:r>
            <w:r>
              <w:t>ul</w:t>
            </w:r>
            <w:r w:rsidRPr="00E70CBD">
              <w:t xml:space="preserve"> ajutor</w:t>
            </w:r>
            <w:r>
              <w:t>ului.</w:t>
            </w:r>
          </w:p>
          <w:p w14:paraId="283D0273" w14:textId="467704E1" w:rsidR="00227A62" w:rsidRPr="009B381E" w:rsidRDefault="00227A62" w:rsidP="00805594">
            <w:pPr>
              <w:autoSpaceDE w:val="0"/>
              <w:autoSpaceDN w:val="0"/>
              <w:adjustRightInd w:val="0"/>
              <w:ind w:firstLine="317"/>
              <w:jc w:val="both"/>
              <w:rPr>
                <w:lang w:eastAsia="en-GB"/>
              </w:rPr>
            </w:pPr>
            <w:r w:rsidRPr="009B381E">
              <w:rPr>
                <w:lang w:eastAsia="en-GB"/>
              </w:rPr>
              <w:t>În vederea recuperării sumelor acordate beneficiarilor prin mecanismul prefinanțării și nerestituite autorităților de management, în cazul în care beneficiarii nu au justificat prin cereri de rambursare utilizarea corespunzătoare a prefinanțării acordate, este necesară reglementarea unui mecanism de recuperare a prefinanțării acordate.</w:t>
            </w:r>
          </w:p>
          <w:p w14:paraId="1CF33592" w14:textId="64CFC39B" w:rsidR="00227A62" w:rsidRPr="009B381E" w:rsidRDefault="00227A62" w:rsidP="00805594">
            <w:pPr>
              <w:autoSpaceDE w:val="0"/>
              <w:autoSpaceDN w:val="0"/>
              <w:adjustRightInd w:val="0"/>
              <w:ind w:firstLine="317"/>
              <w:jc w:val="both"/>
            </w:pPr>
            <w:r w:rsidRPr="009B381E">
              <w:t>În scopul implementării optime a programelor operaționale este necesară reglementarea faptului că autorităţile de management pot utiliza atât mecanismul rambursării cheltuielilor efectuate, cât şi pe cel al cererilor de plată.</w:t>
            </w:r>
          </w:p>
          <w:p w14:paraId="118FFCD5" w14:textId="78465209" w:rsidR="00227A62" w:rsidRPr="009B381E" w:rsidRDefault="00227A62" w:rsidP="00805594">
            <w:pPr>
              <w:autoSpaceDE w:val="0"/>
              <w:autoSpaceDN w:val="0"/>
              <w:adjustRightInd w:val="0"/>
              <w:ind w:firstLine="317"/>
              <w:jc w:val="both"/>
            </w:pPr>
            <w:r w:rsidRPr="009B381E">
              <w:t xml:space="preserve">Pentru asigurarea operativă a fondurilor necesare Autorităţilor de management în vederea efectuării plăţilor în conturile beneficiarilor, cu efecte asupra gradului de absorbţie, este necesară reglementarea unor  </w:t>
            </w:r>
            <w:r w:rsidRPr="009B381E">
              <w:br/>
              <w:t xml:space="preserve">măsuri adecvate care să permită un flux de numerar astfel încât să se asigure necesarul de fonduri la nivelul Autorităţii de </w:t>
            </w:r>
            <w:r w:rsidR="00300E1C">
              <w:t>C</w:t>
            </w:r>
            <w:r w:rsidRPr="009B381E">
              <w:t xml:space="preserve">ertificare şi </w:t>
            </w:r>
            <w:r w:rsidR="00300E1C">
              <w:t>P</w:t>
            </w:r>
            <w:r w:rsidRPr="009B381E">
              <w:t>lată / Autorităţilor de management pentru efectuarea plăţilor într-un termen cât mai scurt cu rezultat în includerea acestora în Declaraţii lunare de cheltuieli către CE. Astfel, este instituit mecanismul cererilor de plată, pentru care este necesară reglementarea: a condițiilor de acordare, stabilirea documentelor justificative aferente cererii de plată,  a termenelor de verificare și plată la nivelul autorităților de management, a termenului de depunere a cererii de rambursare prin care se justifică sumele primite de la autoritățile de management pe cererea de plată și recuperarea sumelor virate în cazul proiectelor pentru care beneficiarii nu justifică prin cereri de rambursare utilizarea acestora.</w:t>
            </w:r>
          </w:p>
          <w:p w14:paraId="158A90BE" w14:textId="534AF960" w:rsidR="00E1246C" w:rsidRPr="009B381E" w:rsidRDefault="00E1246C" w:rsidP="00805594">
            <w:pPr>
              <w:autoSpaceDE w:val="0"/>
              <w:autoSpaceDN w:val="0"/>
              <w:adjustRightInd w:val="0"/>
              <w:ind w:firstLine="317"/>
              <w:jc w:val="both"/>
              <w:rPr>
                <w:lang w:eastAsia="en-GB"/>
              </w:rPr>
            </w:pPr>
            <w:r w:rsidRPr="009B381E">
              <w:rPr>
                <w:lang w:eastAsia="en-GB"/>
              </w:rPr>
              <w:t>Pentru deschiderea conturilor partenerilor, persoane juridice nerezidente care nu au un sediu permanent pe teritoriul României, este necesară asigurarea și pentru perioada de programare 2021-2027 a unui cadrul legal necesar derulării acestei operațiuni, având în vedere că nu sunt înregistrate fiscal pe teritoriul României și nu sunt identificate printr-un certificat de înregistrare fiscală. În acest sens este necesară detalierea modului în care se face înregistrarea partenerilor, persoane</w:t>
            </w:r>
            <w:r w:rsidR="00C60836">
              <w:rPr>
                <w:lang w:eastAsia="en-GB"/>
              </w:rPr>
              <w:t>i</w:t>
            </w:r>
            <w:r w:rsidRPr="009B381E">
              <w:rPr>
                <w:lang w:eastAsia="en-GB"/>
              </w:rPr>
              <w:t xml:space="preserve"> juridice nerezident</w:t>
            </w:r>
            <w:r w:rsidR="00C60836">
              <w:rPr>
                <w:lang w:eastAsia="en-GB"/>
              </w:rPr>
              <w:t>e</w:t>
            </w:r>
            <w:r w:rsidRPr="009B381E">
              <w:rPr>
                <w:lang w:eastAsia="en-GB"/>
              </w:rPr>
              <w:t xml:space="preserve"> care nu au pe teritoriul României un sediu permanent, astfel încât aceștia să aibă posibilitatea utilizării tuturor mecanismelor </w:t>
            </w:r>
            <w:r w:rsidRPr="009B381E">
              <w:rPr>
                <w:lang w:eastAsia="en-GB"/>
              </w:rPr>
              <w:lastRenderedPageBreak/>
              <w:t>prevăzute de legislația în vigoare pentru implementarea proiectelor finanțate din fonduri europene.</w:t>
            </w:r>
          </w:p>
          <w:p w14:paraId="02048A21" w14:textId="5847947A" w:rsidR="00E1246C" w:rsidRPr="009B381E" w:rsidRDefault="009561EC" w:rsidP="00805594">
            <w:pPr>
              <w:autoSpaceDE w:val="0"/>
              <w:autoSpaceDN w:val="0"/>
              <w:adjustRightInd w:val="0"/>
              <w:ind w:firstLine="317"/>
              <w:jc w:val="both"/>
            </w:pPr>
            <w:r w:rsidRPr="009B381E">
              <w:t>În vederea asigurării unui management financiar riguros al fondurilor europene sunt necesare regl</w:t>
            </w:r>
            <w:r w:rsidR="00C60836">
              <w:t>e</w:t>
            </w:r>
            <w:r w:rsidRPr="009B381E">
              <w:t>mentări privind înregistrarea în conturi a sumelor recuperate.</w:t>
            </w:r>
          </w:p>
          <w:p w14:paraId="22FC1D25" w14:textId="28670A42" w:rsidR="009561EC" w:rsidRPr="009B381E" w:rsidRDefault="009561EC" w:rsidP="00805594">
            <w:pPr>
              <w:autoSpaceDE w:val="0"/>
              <w:autoSpaceDN w:val="0"/>
              <w:adjustRightInd w:val="0"/>
              <w:ind w:firstLine="317"/>
              <w:jc w:val="both"/>
            </w:pPr>
            <w:r w:rsidRPr="009B381E">
              <w:t>Pentru a putea vira beneficiarilor/liderilor de parteneriat sumele aferente cheltuielilor eligibile efectuate din surse proprii, conform contractului/deciziei/ordinului de finanțare a fost necesară instituirea mecanismul</w:t>
            </w:r>
            <w:r w:rsidR="00C60836">
              <w:t>ui</w:t>
            </w:r>
            <w:r w:rsidRPr="009B381E">
              <w:t xml:space="preserve"> cererii de rambursare pentru perioada de programare 2021-2027.  Astfel, beneficiarii/liderii de parteneriat au obligația de a depune cererea de rambursare pentru cheltuielile efectuate, în termen de maximum 3 luni de la efectuarea acestora. Totodată, mecanismul cererii de rambursare include termene și obligații ale autorităților de management pentru autorizarea cheltuielilor eligibile cuprinse în cererea de rambursare şi efectuarea plății sumelor autorizate, inclusiv în cazul particular al ultimei cereri de rambursare depuse de beneficiar/liderul de parteneriat.</w:t>
            </w:r>
          </w:p>
          <w:p w14:paraId="2062C7BB" w14:textId="4A910191" w:rsidR="009561EC" w:rsidRPr="009B381E" w:rsidRDefault="009561EC" w:rsidP="00805594">
            <w:pPr>
              <w:autoSpaceDE w:val="0"/>
              <w:autoSpaceDN w:val="0"/>
              <w:adjustRightInd w:val="0"/>
              <w:ind w:firstLine="317"/>
              <w:jc w:val="both"/>
              <w:rPr>
                <w:lang w:eastAsia="en-GB"/>
              </w:rPr>
            </w:pPr>
            <w:r w:rsidRPr="009B381E">
              <w:rPr>
                <w:lang w:eastAsia="en-GB"/>
              </w:rPr>
              <w:t xml:space="preserve">În vederea asigurării unui management financiar riguros sunt necesare reglementări privind conturile în care </w:t>
            </w:r>
            <w:r w:rsidR="00CF6DC4">
              <w:rPr>
                <w:lang w:eastAsia="en-GB"/>
              </w:rPr>
              <w:t xml:space="preserve">vor </w:t>
            </w:r>
            <w:r w:rsidRPr="009B381E">
              <w:rPr>
                <w:lang w:eastAsia="en-GB"/>
              </w:rPr>
              <w:t>fi virate sumele fonduri europene şi cofinanţare de către autoritățile de mangement după autorizarea cheltuielilor declarate de beneficiari autorități publice centrale și locale în cadrul proiectelor finanțate din fonduri europene.</w:t>
            </w:r>
          </w:p>
          <w:p w14:paraId="311D47E3" w14:textId="2ADA417B" w:rsidR="009561EC" w:rsidRPr="009B381E" w:rsidRDefault="009561EC" w:rsidP="00805594">
            <w:pPr>
              <w:autoSpaceDE w:val="0"/>
              <w:autoSpaceDN w:val="0"/>
              <w:adjustRightInd w:val="0"/>
              <w:ind w:firstLine="317"/>
              <w:jc w:val="both"/>
              <w:rPr>
                <w:lang w:eastAsia="en-GB"/>
              </w:rPr>
            </w:pPr>
            <w:r w:rsidRPr="009B381E">
              <w:rPr>
                <w:lang w:eastAsia="en-GB"/>
              </w:rPr>
              <w:t>Ordonatorii de credite ai bugetelor prevăzute la art. 1 alin. (2) din Legea nr. 500/2002 sunt autorizați să angajeze, să lichideze și să ordonanțeze cheltuieli pe parcursul exercițiului bugetar, în limita creditelor bugetare aprobate. Operațiunile specifice angajării, lichidării și ordonanțării cheltuielilor sunt în competența ordonatorilor de credite și se efectuează pe baza propunerilor compartimentelor de specialitate ale instituției publice. Astfel</w:t>
            </w:r>
            <w:r w:rsidR="008A6377">
              <w:rPr>
                <w:lang w:eastAsia="en-GB"/>
              </w:rPr>
              <w:t>,</w:t>
            </w:r>
            <w:r w:rsidRPr="009B381E">
              <w:rPr>
                <w:lang w:eastAsia="en-GB"/>
              </w:rPr>
              <w:t xml:space="preserve"> sunt necesare reglementări pentru cele 4 faze ale execuţiei bugetare a cheltuielilor, respectiv angajarea, lichidarea, ordonanţarea şi plata acestora, efectuate la nivelul programelor.</w:t>
            </w:r>
          </w:p>
          <w:p w14:paraId="18B0487D" w14:textId="70CD62BE" w:rsidR="009561EC" w:rsidRPr="009B381E" w:rsidRDefault="009561EC" w:rsidP="00805594">
            <w:pPr>
              <w:autoSpaceDE w:val="0"/>
              <w:autoSpaceDN w:val="0"/>
              <w:adjustRightInd w:val="0"/>
              <w:ind w:firstLine="317"/>
              <w:jc w:val="both"/>
              <w:rPr>
                <w:lang w:eastAsia="en-GB"/>
              </w:rPr>
            </w:pPr>
            <w:r w:rsidRPr="009B381E">
              <w:rPr>
                <w:lang w:eastAsia="en-GB"/>
              </w:rPr>
              <w:t>Pentru eficientizarea managementului fondurilor europene ordonatorii principali de credite pot delega angajarea şi/sau lichidarea cheltuielilor efectuate la nivelul programelor către ordonatorii de credite cu rol de organism intermediar, în limita competenţelor reglementate prin ordin comun al conducătorilor celor două instituţii implicate şi/sau pe baza acordului de delegare de atribuţii, încheiat între autoritatea de management şi organismul intermediar, în conformitate cu prevederile regulamentelor Uniunii Europene. În acest scop este necesară reglementarea acestei situații.</w:t>
            </w:r>
          </w:p>
          <w:p w14:paraId="6ABA96F3" w14:textId="161C651F" w:rsidR="009561EC" w:rsidRPr="009B381E" w:rsidRDefault="009561EC" w:rsidP="00805594">
            <w:pPr>
              <w:autoSpaceDE w:val="0"/>
              <w:autoSpaceDN w:val="0"/>
              <w:adjustRightInd w:val="0"/>
              <w:ind w:firstLine="317"/>
              <w:jc w:val="both"/>
              <w:rPr>
                <w:lang w:eastAsia="en-GB"/>
              </w:rPr>
            </w:pPr>
            <w:r w:rsidRPr="009B381E">
              <w:rPr>
                <w:lang w:eastAsia="en-GB"/>
              </w:rPr>
              <w:t>Sunt necesare prevederi privind controlul financiar preventiv, controlul financiar preventiv delegat şi auditul intern al fondurilor derulate la nivelul programelor operaţionale, care să reglementeze situații</w:t>
            </w:r>
            <w:r w:rsidR="00880D07">
              <w:rPr>
                <w:lang w:eastAsia="en-GB"/>
              </w:rPr>
              <w:t>le</w:t>
            </w:r>
            <w:r w:rsidRPr="009B381E">
              <w:rPr>
                <w:lang w:eastAsia="en-GB"/>
              </w:rPr>
              <w:t xml:space="preserve"> </w:t>
            </w:r>
            <w:r w:rsidR="00880D07">
              <w:rPr>
                <w:lang w:eastAsia="en-GB"/>
              </w:rPr>
              <w:t>aplicabile</w:t>
            </w:r>
            <w:r w:rsidRPr="009B381E">
              <w:rPr>
                <w:lang w:eastAsia="en-GB"/>
              </w:rPr>
              <w:t xml:space="preserve"> fiecăreia dintre structurile implicate în sistemul de management și control al fondurilor europene.</w:t>
            </w:r>
          </w:p>
          <w:p w14:paraId="04BBAEF7" w14:textId="07C4006A" w:rsidR="009561EC" w:rsidRPr="009B381E" w:rsidRDefault="009561EC" w:rsidP="00805594">
            <w:pPr>
              <w:autoSpaceDE w:val="0"/>
              <w:autoSpaceDN w:val="0"/>
              <w:adjustRightInd w:val="0"/>
              <w:ind w:firstLine="317"/>
              <w:jc w:val="both"/>
              <w:rPr>
                <w:lang w:eastAsia="en-GB"/>
              </w:rPr>
            </w:pPr>
            <w:r w:rsidRPr="009B381E">
              <w:rPr>
                <w:lang w:eastAsia="en-GB"/>
              </w:rPr>
              <w:t xml:space="preserve">Sunt necesare prevederi pentru păstrarea documentelor aferente proiectelor finanțate din fonduri europene și asigurarea accesului neîngrădit al autorităţilor naţionale cu atribuţii de verificare, control şi audit, al serviciilor Comisiei Europene, al Curţii Europene de Conturi, al reprezentanţilor serviciului specializat al Comisiei Europene - Oficiul European pentru Lupta Antifraudă - OLAF, al reprezentanților Parchetului European, precum şi al reprezentanţilor Departamentului pentru Lupta Antifraudă - DLAF, în limitele competenţelor ce le revin, în cazul în care aceştia efectuează verificări/controale/audit la faţa </w:t>
            </w:r>
            <w:r w:rsidRPr="009B381E">
              <w:rPr>
                <w:lang w:eastAsia="en-GB"/>
              </w:rPr>
              <w:lastRenderedPageBreak/>
              <w:t>locului şi solicită în scris declaraţii, documente, informaţii, conform prevederilor regulamentelor europene.</w:t>
            </w:r>
          </w:p>
          <w:p w14:paraId="0550A5A6" w14:textId="5C1D399E" w:rsidR="00752B06" w:rsidRPr="009B381E" w:rsidRDefault="00752B06" w:rsidP="00805594">
            <w:pPr>
              <w:autoSpaceDE w:val="0"/>
              <w:autoSpaceDN w:val="0"/>
              <w:adjustRightInd w:val="0"/>
              <w:ind w:firstLine="317"/>
              <w:jc w:val="both"/>
              <w:rPr>
                <w:rFonts w:eastAsiaTheme="minorEastAsia"/>
                <w:lang w:eastAsia="ro-RO"/>
              </w:rPr>
            </w:pPr>
            <w:r w:rsidRPr="009B381E">
              <w:t xml:space="preserve">În vederea asigurării unei bune gestiuni financiare sunt necesare prevederi privind </w:t>
            </w:r>
            <w:r w:rsidRPr="009B381E">
              <w:rPr>
                <w:rFonts w:eastAsiaTheme="minorEastAsia"/>
                <w:lang w:eastAsia="ro-RO"/>
              </w:rPr>
              <w:t xml:space="preserve">recuperarea de către Autoritatea de </w:t>
            </w:r>
            <w:r w:rsidR="00300E1C">
              <w:rPr>
                <w:rFonts w:eastAsiaTheme="minorEastAsia"/>
                <w:lang w:eastAsia="ro-RO"/>
              </w:rPr>
              <w:t>C</w:t>
            </w:r>
            <w:r w:rsidRPr="009B381E">
              <w:rPr>
                <w:rFonts w:eastAsiaTheme="minorEastAsia"/>
                <w:lang w:eastAsia="ro-RO"/>
              </w:rPr>
              <w:t xml:space="preserve">ertificare și </w:t>
            </w:r>
            <w:r w:rsidR="00300E1C">
              <w:rPr>
                <w:rFonts w:eastAsiaTheme="minorEastAsia"/>
                <w:lang w:eastAsia="ro-RO"/>
              </w:rPr>
              <w:t>P</w:t>
            </w:r>
            <w:r w:rsidRPr="009B381E">
              <w:rPr>
                <w:rFonts w:eastAsiaTheme="minorEastAsia"/>
                <w:lang w:eastAsia="ro-RO"/>
              </w:rPr>
              <w:t>lată de la autoritățile de management a sumelor necesare plății creanţelor bugetare în relația cu Comisia Europeană.</w:t>
            </w:r>
          </w:p>
          <w:p w14:paraId="3E259A42" w14:textId="18A72118" w:rsidR="00752B06" w:rsidRPr="009B381E" w:rsidRDefault="00752B06" w:rsidP="00805594">
            <w:pPr>
              <w:autoSpaceDE w:val="0"/>
              <w:autoSpaceDN w:val="0"/>
              <w:adjustRightInd w:val="0"/>
              <w:ind w:firstLine="317"/>
              <w:jc w:val="both"/>
              <w:rPr>
                <w:rFonts w:eastAsiaTheme="minorEastAsia"/>
                <w:lang w:eastAsia="ro-RO"/>
              </w:rPr>
            </w:pPr>
            <w:r w:rsidRPr="009B381E">
              <w:t xml:space="preserve">Pentru situația în care există proiecte implementate în parteneriat </w:t>
            </w:r>
            <w:r w:rsidRPr="009B381E">
              <w:rPr>
                <w:rFonts w:eastAsiaTheme="minorEastAsia"/>
                <w:lang w:eastAsia="ro-RO"/>
              </w:rPr>
              <w:t>compus din două sau mai multe entităţi cu personalitate juridică, înregistrate în România şi/sau în statele membre ale Uniunii Europene este necesară reglementarea condiției ca liderul  parteneriatului să fie o entitate înregistrată fiscal în România.</w:t>
            </w:r>
          </w:p>
          <w:p w14:paraId="5EAD45F9" w14:textId="68B5878F" w:rsidR="00752B06" w:rsidRPr="009B381E" w:rsidRDefault="00752B06" w:rsidP="00805594">
            <w:pPr>
              <w:autoSpaceDE w:val="0"/>
              <w:autoSpaceDN w:val="0"/>
              <w:adjustRightInd w:val="0"/>
              <w:ind w:firstLine="317"/>
              <w:jc w:val="both"/>
            </w:pPr>
            <w:r w:rsidRPr="009B381E">
              <w:t>Pentru a respecta principiile transparenţei, tratamentului legal, nediscriminării şi utilizării eficiente a fondurilor publice în cadrul proiectelor implementate în parteneriat cu entităţi finanţate din fonduri publice este necesară reglementarea aplicării unei proceduri de selecţie a partenerilor.</w:t>
            </w:r>
          </w:p>
          <w:p w14:paraId="171E70B0" w14:textId="5A0C4B1C" w:rsidR="00752B06" w:rsidRPr="009B381E" w:rsidRDefault="00752B06" w:rsidP="00805594">
            <w:pPr>
              <w:autoSpaceDE w:val="0"/>
              <w:autoSpaceDN w:val="0"/>
              <w:adjustRightInd w:val="0"/>
              <w:ind w:firstLine="317"/>
              <w:jc w:val="both"/>
              <w:rPr>
                <w:rFonts w:eastAsiaTheme="minorEastAsia"/>
                <w:lang w:eastAsia="ro-RO"/>
              </w:rPr>
            </w:pPr>
            <w:r w:rsidRPr="009B381E">
              <w:t xml:space="preserve">Este necesară reglementarea situațiilor în care apar  </w:t>
            </w:r>
            <w:r w:rsidRPr="009B381E">
              <w:rPr>
                <w:rFonts w:eastAsiaTheme="minorEastAsia"/>
                <w:lang w:eastAsia="ro-RO"/>
              </w:rPr>
              <w:t>nereguli constatate în cadrul proiectelor implementate în parteneriat prin trimitere la legislația natională în vigoare aplicabilă.</w:t>
            </w:r>
          </w:p>
          <w:p w14:paraId="0E52668E" w14:textId="0FE586EA" w:rsidR="00F470C3" w:rsidRPr="009B381E" w:rsidRDefault="00F470C3" w:rsidP="00805594">
            <w:pPr>
              <w:autoSpaceDE w:val="0"/>
              <w:autoSpaceDN w:val="0"/>
              <w:adjustRightInd w:val="0"/>
              <w:ind w:firstLine="317"/>
              <w:jc w:val="both"/>
              <w:rPr>
                <w:lang w:eastAsia="en-GB"/>
              </w:rPr>
            </w:pPr>
            <w:r w:rsidRPr="009B381E">
              <w:rPr>
                <w:lang w:eastAsia="en-GB"/>
              </w:rPr>
              <w:t xml:space="preserve">Prin actul normativ se creează mecanismul intern de aplicare a conceptelor de colaborare efectivă și parteneriate pentru transfer de cunoștințe în domeniul CDI, permise de legislația comunitară și neacoperite de legislația națională. Astfel, pentru parteneriatele transfer de cunoștințe în domeniul CDI se vor putea rambursa sumele aferente contractelor subsidiare. </w:t>
            </w:r>
          </w:p>
          <w:p w14:paraId="0825F865" w14:textId="5AC52997" w:rsidR="00916869" w:rsidRPr="009B381E" w:rsidRDefault="00916869" w:rsidP="00805594">
            <w:pPr>
              <w:autoSpaceDE w:val="0"/>
              <w:autoSpaceDN w:val="0"/>
              <w:adjustRightInd w:val="0"/>
              <w:ind w:firstLine="317"/>
              <w:jc w:val="both"/>
              <w:rPr>
                <w:lang w:eastAsia="en-GB"/>
              </w:rPr>
            </w:pPr>
            <w:r w:rsidRPr="009B381E">
              <w:t xml:space="preserve">Este necesară reglementarea modalității de recuperare a sumelor provenite din </w:t>
            </w:r>
            <w:r w:rsidRPr="009B381E">
              <w:rPr>
                <w:rFonts w:eastAsiaTheme="minorEastAsia"/>
                <w:lang w:eastAsia="ro-RO"/>
              </w:rPr>
              <w:t>rezilierea contractului de finanţare în baza deciziei</w:t>
            </w:r>
            <w:r w:rsidR="007A28A7">
              <w:rPr>
                <w:rFonts w:eastAsiaTheme="minorEastAsia"/>
                <w:lang w:eastAsia="ro-RO"/>
              </w:rPr>
              <w:t xml:space="preserve"> deciziei de reziliere </w:t>
            </w:r>
            <w:r w:rsidR="001F7034">
              <w:rPr>
                <w:rFonts w:eastAsiaTheme="minorEastAsia"/>
                <w:lang w:eastAsia="ro-RO"/>
              </w:rPr>
              <w:t>emisă de către autoritatea de management.</w:t>
            </w:r>
            <w:r w:rsidRPr="009B381E">
              <w:rPr>
                <w:rFonts w:eastAsiaTheme="minorEastAsia"/>
                <w:lang w:eastAsia="ro-RO"/>
              </w:rPr>
              <w:t>.</w:t>
            </w:r>
          </w:p>
          <w:p w14:paraId="45862F79" w14:textId="6AE46B43" w:rsidR="006F7D98" w:rsidRPr="009B381E" w:rsidRDefault="00B42A83" w:rsidP="009F06B0">
            <w:pPr>
              <w:autoSpaceDE w:val="0"/>
              <w:autoSpaceDN w:val="0"/>
              <w:adjustRightInd w:val="0"/>
              <w:ind w:firstLine="317"/>
              <w:jc w:val="both"/>
              <w:rPr>
                <w:bCs/>
                <w:lang w:eastAsia="ro-RO"/>
              </w:rPr>
            </w:pPr>
            <w:r w:rsidRPr="009B381E">
              <w:rPr>
                <w:lang w:eastAsia="en-GB"/>
              </w:rPr>
              <w:t>Având în vedere faptul că exercitarea funcțiilor autorităților de management implică luarea de decizii privind utilizarea fondurilor publice, respectiv a fondurilor externe nerambursabile</w:t>
            </w:r>
            <w:r w:rsidRPr="009B381E" w:rsidDel="00081714">
              <w:rPr>
                <w:lang w:eastAsia="en-GB"/>
              </w:rPr>
              <w:t xml:space="preserve"> </w:t>
            </w:r>
            <w:r w:rsidRPr="009B381E">
              <w:rPr>
                <w:lang w:eastAsia="en-GB"/>
              </w:rPr>
              <w:t xml:space="preserve"> ce vor fi alocate României în perioada 2021-2027, se impune adoptarea cât mai urgentă a cadrului normativ național care să reglementeze</w:t>
            </w:r>
            <w:r w:rsidRPr="009B381E">
              <w:t xml:space="preserve"> </w:t>
            </w:r>
            <w:r w:rsidRPr="009B381E">
              <w:rPr>
                <w:lang w:eastAsia="en-GB"/>
              </w:rPr>
              <w:t>gestiunea financiară a fondurilor alocate prin aceste programe operaționale.</w:t>
            </w:r>
          </w:p>
        </w:tc>
      </w:tr>
      <w:tr w:rsidR="009F22AF" w:rsidRPr="009B381E" w14:paraId="63A0FC7D" w14:textId="77777777" w:rsidTr="00EA0275">
        <w:tc>
          <w:tcPr>
            <w:tcW w:w="2259" w:type="dxa"/>
          </w:tcPr>
          <w:p w14:paraId="4DA13CEC" w14:textId="33E57481" w:rsidR="009F22AF" w:rsidRPr="009B381E" w:rsidRDefault="009F22AF" w:rsidP="00A70147">
            <w:pPr>
              <w:jc w:val="both"/>
              <w:rPr>
                <w:lang w:eastAsia="ro-RO"/>
              </w:rPr>
            </w:pPr>
            <w:r w:rsidRPr="009B381E">
              <w:rPr>
                <w:lang w:eastAsia="ro-RO"/>
              </w:rPr>
              <w:lastRenderedPageBreak/>
              <w:t>1</w:t>
            </w:r>
            <w:r w:rsidRPr="009B381E">
              <w:rPr>
                <w:vertAlign w:val="superscript"/>
                <w:lang w:eastAsia="ro-RO"/>
              </w:rPr>
              <w:t>1</w:t>
            </w:r>
            <w:r w:rsidRPr="009B381E">
              <w:rPr>
                <w:lang w:eastAsia="ro-RO"/>
              </w:rPr>
              <w:t xml:space="preserve"> În cazul proiectelor de acte normative care transpun </w:t>
            </w:r>
            <w:r w:rsidR="00C5468F" w:rsidRPr="009B381E">
              <w:rPr>
                <w:lang w:eastAsia="ro-RO"/>
              </w:rPr>
              <w:t>legislație</w:t>
            </w:r>
            <w:r w:rsidRPr="009B381E">
              <w:rPr>
                <w:lang w:eastAsia="ro-RO"/>
              </w:rPr>
              <w:t xml:space="preserve"> comunitară sau creează cadrul pentru aplicarea directă a acesteia, se vor specifica doar actele comunitare în cauză, </w:t>
            </w:r>
            <w:r w:rsidR="00C5468F" w:rsidRPr="009B381E">
              <w:rPr>
                <w:lang w:eastAsia="ro-RO"/>
              </w:rPr>
              <w:t>însoțite</w:t>
            </w:r>
            <w:r w:rsidRPr="009B381E">
              <w:rPr>
                <w:lang w:eastAsia="ro-RO"/>
              </w:rPr>
              <w:t xml:space="preserve"> de elementel</w:t>
            </w:r>
            <w:r w:rsidR="00060E2F" w:rsidRPr="009B381E">
              <w:rPr>
                <w:lang w:eastAsia="ro-RO"/>
              </w:rPr>
              <w:t>e de identificare ale acestora.</w:t>
            </w:r>
          </w:p>
        </w:tc>
        <w:tc>
          <w:tcPr>
            <w:tcW w:w="7938" w:type="dxa"/>
          </w:tcPr>
          <w:p w14:paraId="3DAAFC61" w14:textId="1E3E1EB4" w:rsidR="009F22AF" w:rsidRPr="009B381E" w:rsidRDefault="009F22AF" w:rsidP="00805594">
            <w:pPr>
              <w:jc w:val="both"/>
            </w:pPr>
            <w:r w:rsidRPr="009B381E">
              <w:t>Proiectul de act normativ nu se referă la acest subiect.</w:t>
            </w:r>
          </w:p>
        </w:tc>
      </w:tr>
      <w:tr w:rsidR="00520BE3" w:rsidRPr="009B381E" w14:paraId="5E9CE6CD" w14:textId="77777777" w:rsidTr="00EA0275">
        <w:trPr>
          <w:trHeight w:val="983"/>
        </w:trPr>
        <w:tc>
          <w:tcPr>
            <w:tcW w:w="2259" w:type="dxa"/>
          </w:tcPr>
          <w:p w14:paraId="78E5EC29" w14:textId="77777777" w:rsidR="00670C79" w:rsidRPr="009B381E" w:rsidRDefault="00670C79" w:rsidP="00A70147">
            <w:pPr>
              <w:spacing w:after="120"/>
              <w:jc w:val="both"/>
              <w:rPr>
                <w:lang w:eastAsia="ro-RO"/>
              </w:rPr>
            </w:pPr>
            <w:r w:rsidRPr="009B381E">
              <w:rPr>
                <w:lang w:eastAsia="ro-RO"/>
              </w:rPr>
              <w:t>2.Schimbări preconizate</w:t>
            </w:r>
          </w:p>
        </w:tc>
        <w:tc>
          <w:tcPr>
            <w:tcW w:w="7938" w:type="dxa"/>
          </w:tcPr>
          <w:p w14:paraId="68F9AA7F" w14:textId="77ACF193" w:rsidR="001A0AEA" w:rsidRPr="009B381E" w:rsidRDefault="001A0AEA" w:rsidP="00805594">
            <w:pPr>
              <w:jc w:val="both"/>
              <w:rPr>
                <w:lang w:eastAsia="ro-RO"/>
              </w:rPr>
            </w:pPr>
            <w:r w:rsidRPr="009B381E">
              <w:rPr>
                <w:lang w:eastAsia="ro-RO"/>
              </w:rPr>
              <w:t xml:space="preserve">    Prin promovarea prezentului act normativ se urmăreşte stabilirea cadrului financiar general aplicabil proiectelor finanțate din Fondul European de Dezvoltare Regională, Fondul de Coeziune, Fondul Social European Plus, Fondul pentru Tranziție Justă.</w:t>
            </w:r>
          </w:p>
          <w:p w14:paraId="4D0EBF79" w14:textId="08653241" w:rsidR="001A0AEA" w:rsidRPr="009B381E" w:rsidRDefault="0062007D" w:rsidP="00805594">
            <w:pPr>
              <w:jc w:val="both"/>
              <w:rPr>
                <w:lang w:eastAsia="ro-RO"/>
              </w:rPr>
            </w:pPr>
            <w:r w:rsidRPr="009B381E">
              <w:rPr>
                <w:lang w:eastAsia="ro-RO"/>
              </w:rPr>
              <w:t xml:space="preserve">    </w:t>
            </w:r>
            <w:r w:rsidR="001A0AEA" w:rsidRPr="009B381E">
              <w:rPr>
                <w:lang w:eastAsia="ro-RO"/>
              </w:rPr>
              <w:t xml:space="preserve">Principalele </w:t>
            </w:r>
            <w:r w:rsidRPr="009B381E">
              <w:rPr>
                <w:lang w:eastAsia="ro-RO"/>
              </w:rPr>
              <w:t>reglementări</w:t>
            </w:r>
            <w:r w:rsidR="001A0AEA" w:rsidRPr="009B381E">
              <w:rPr>
                <w:lang w:eastAsia="ro-RO"/>
              </w:rPr>
              <w:t xml:space="preserve"> vizează </w:t>
            </w:r>
            <w:r w:rsidRPr="009B381E">
              <w:rPr>
                <w:lang w:eastAsia="ro-RO"/>
              </w:rPr>
              <w:t>consolidarea</w:t>
            </w:r>
            <w:r w:rsidR="001A0AEA" w:rsidRPr="009B381E">
              <w:rPr>
                <w:lang w:eastAsia="ro-RO"/>
              </w:rPr>
              <w:t xml:space="preserve"> disciplinei financiare la nivelul beneficiarilor instituții publice prin obligativit</w:t>
            </w:r>
            <w:r w:rsidRPr="009B381E">
              <w:rPr>
                <w:lang w:eastAsia="ro-RO"/>
              </w:rPr>
              <w:t>atea</w:t>
            </w:r>
            <w:r w:rsidR="001A0AEA" w:rsidRPr="009B381E">
              <w:rPr>
                <w:lang w:eastAsia="ro-RO"/>
              </w:rPr>
              <w:t xml:space="preserve"> raportării lunare a </w:t>
            </w:r>
            <w:r w:rsidR="001A0AEA" w:rsidRPr="009B381E">
              <w:rPr>
                <w:lang w:eastAsia="ro-RO"/>
              </w:rPr>
              <w:lastRenderedPageBreak/>
              <w:t>redistribuirilor de fonduri pentru implementarea proiectelor finanţate/propuse la finanţare în cadrul titlului din clasificaţia bugetară referitor la proiecte cu finanţare din fonduri externe nerambursabile aferente cadrului financiar 20</w:t>
            </w:r>
            <w:r w:rsidRPr="009B381E">
              <w:rPr>
                <w:lang w:eastAsia="ro-RO"/>
              </w:rPr>
              <w:t>21</w:t>
            </w:r>
            <w:r w:rsidR="001A0AEA" w:rsidRPr="009B381E">
              <w:rPr>
                <w:lang w:eastAsia="ro-RO"/>
              </w:rPr>
              <w:t>-202</w:t>
            </w:r>
            <w:r w:rsidRPr="009B381E">
              <w:rPr>
                <w:lang w:eastAsia="ro-RO"/>
              </w:rPr>
              <w:t>7</w:t>
            </w:r>
            <w:r w:rsidR="001A0AEA" w:rsidRPr="009B381E">
              <w:rPr>
                <w:lang w:eastAsia="ro-RO"/>
              </w:rPr>
              <w:t>, precum şi virări de credite de la alte titluri ori capitole de cheltuieli, astfel încât să se asigure implementarea corespunzătoare a acestor proiecte şi/sau să se asigure finanţarea unor proiecte noi, către Ministerul Finanțelor.</w:t>
            </w:r>
          </w:p>
          <w:p w14:paraId="49D47007" w14:textId="1997E9CF" w:rsidR="001A0AEA" w:rsidRPr="009B381E" w:rsidRDefault="005C204E" w:rsidP="00805594">
            <w:pPr>
              <w:jc w:val="both"/>
              <w:rPr>
                <w:lang w:eastAsia="ro-RO"/>
              </w:rPr>
            </w:pPr>
            <w:r>
              <w:rPr>
                <w:lang w:eastAsia="ro-RO"/>
              </w:rPr>
              <w:t xml:space="preserve">     </w:t>
            </w:r>
            <w:r w:rsidR="001A0AEA" w:rsidRPr="009B381E">
              <w:rPr>
                <w:lang w:eastAsia="ro-RO"/>
              </w:rPr>
              <w:t>Totodată</w:t>
            </w:r>
            <w:r>
              <w:rPr>
                <w:lang w:eastAsia="ro-RO"/>
              </w:rPr>
              <w:t>,</w:t>
            </w:r>
            <w:r w:rsidR="001A0AEA" w:rsidRPr="009B381E">
              <w:rPr>
                <w:lang w:eastAsia="ro-RO"/>
              </w:rPr>
              <w:t xml:space="preserve"> ordonatorii principali de credite cu rol de autoritatea de management sunt autorizați să efectueze virări de credite de angajament și bugetare de la același titlu sau de la alte titluri sau capitole de cheltuieli, în condițiile legii, astfel încât să se asigure sumele necesare în bugetele proprii finanțării proiectelor, toate aceste modificări fiind comunicate lunar Ministerului Finanțelor.</w:t>
            </w:r>
          </w:p>
          <w:p w14:paraId="75DAAC09" w14:textId="05DC255E" w:rsidR="001A0AEA" w:rsidRPr="009B381E" w:rsidRDefault="001A0AEA" w:rsidP="00805594">
            <w:pPr>
              <w:jc w:val="both"/>
              <w:rPr>
                <w:lang w:eastAsia="ro-RO"/>
              </w:rPr>
            </w:pPr>
            <w:r w:rsidRPr="009B381E">
              <w:rPr>
                <w:lang w:eastAsia="ro-RO"/>
              </w:rPr>
              <w:t>Pornind de la experiența deja acumulată în  exercițiul financiar 20</w:t>
            </w:r>
            <w:r w:rsidR="0062007D" w:rsidRPr="009B381E">
              <w:rPr>
                <w:lang w:eastAsia="ro-RO"/>
              </w:rPr>
              <w:t>14-2020</w:t>
            </w:r>
            <w:r w:rsidRPr="009B381E">
              <w:rPr>
                <w:lang w:eastAsia="ro-RO"/>
              </w:rPr>
              <w:t>, se propune un cadru general pentru acordarea prefinanțărilor către beneficiari</w:t>
            </w:r>
            <w:r w:rsidR="0036135D" w:rsidRPr="009B381E">
              <w:rPr>
                <w:lang w:eastAsia="ro-RO"/>
              </w:rPr>
              <w:t xml:space="preserve"> și</w:t>
            </w:r>
            <w:r w:rsidRPr="009B381E">
              <w:rPr>
                <w:lang w:eastAsia="ro-RO"/>
              </w:rPr>
              <w:t xml:space="preserve"> pentru </w:t>
            </w:r>
            <w:r w:rsidR="0036135D" w:rsidRPr="009B381E">
              <w:rPr>
                <w:lang w:eastAsia="ro-RO"/>
              </w:rPr>
              <w:t>utilizarea</w:t>
            </w:r>
            <w:r w:rsidRPr="009B381E">
              <w:rPr>
                <w:lang w:eastAsia="ro-RO"/>
              </w:rPr>
              <w:t xml:space="preserve"> mecanismul</w:t>
            </w:r>
            <w:r w:rsidR="0036135D" w:rsidRPr="009B381E">
              <w:rPr>
                <w:lang w:eastAsia="ro-RO"/>
              </w:rPr>
              <w:t>ui</w:t>
            </w:r>
            <w:r w:rsidRPr="009B381E">
              <w:rPr>
                <w:lang w:eastAsia="ro-RO"/>
              </w:rPr>
              <w:t xml:space="preserve"> cererii de plată și/sau cerer</w:t>
            </w:r>
            <w:r w:rsidR="0036135D" w:rsidRPr="009B381E">
              <w:rPr>
                <w:lang w:eastAsia="ro-RO"/>
              </w:rPr>
              <w:t>ii</w:t>
            </w:r>
            <w:r w:rsidRPr="009B381E">
              <w:rPr>
                <w:lang w:eastAsia="ro-RO"/>
              </w:rPr>
              <w:t xml:space="preserve"> de rambursare. </w:t>
            </w:r>
          </w:p>
          <w:p w14:paraId="6106B9E6" w14:textId="138B4F00" w:rsidR="001A0AEA" w:rsidRPr="009B381E" w:rsidRDefault="001A0AEA" w:rsidP="00805594">
            <w:pPr>
              <w:jc w:val="both"/>
              <w:rPr>
                <w:lang w:eastAsia="ro-RO"/>
              </w:rPr>
            </w:pPr>
            <w:r w:rsidRPr="009B381E">
              <w:rPr>
                <w:lang w:eastAsia="ro-RO"/>
              </w:rPr>
              <w:t>Astfel, autoritățile de management vor putea acorda beneficiarilor tranșe de prefinanțare pentru acoperirea necesarului de finanțare</w:t>
            </w:r>
            <w:r w:rsidR="0036135D" w:rsidRPr="009B381E">
              <w:rPr>
                <w:lang w:eastAsia="ro-RO"/>
              </w:rPr>
              <w:t xml:space="preserve">. </w:t>
            </w:r>
          </w:p>
          <w:p w14:paraId="5A16844B" w14:textId="57F32105" w:rsidR="001A0AEA" w:rsidRPr="009B381E" w:rsidRDefault="009F06B0" w:rsidP="00805594">
            <w:pPr>
              <w:jc w:val="both"/>
              <w:rPr>
                <w:lang w:eastAsia="ro-RO"/>
              </w:rPr>
            </w:pPr>
            <w:r w:rsidRPr="009B381E">
              <w:rPr>
                <w:lang w:eastAsia="ro-RO"/>
              </w:rPr>
              <w:t xml:space="preserve">     </w:t>
            </w:r>
            <w:r w:rsidR="00EA71B1" w:rsidRPr="009B381E">
              <w:rPr>
                <w:lang w:eastAsia="ro-RO"/>
              </w:rPr>
              <w:t>Î</w:t>
            </w:r>
            <w:r w:rsidR="001A0AEA" w:rsidRPr="009B381E">
              <w:rPr>
                <w:lang w:eastAsia="ro-RO"/>
              </w:rPr>
              <w:t xml:space="preserve">n conformitate cu </w:t>
            </w:r>
            <w:r w:rsidR="00EA71B1" w:rsidRPr="009B381E">
              <w:rPr>
                <w:lang w:eastAsia="ro-RO"/>
              </w:rPr>
              <w:t>dispozițiile</w:t>
            </w:r>
            <w:r w:rsidR="001A0AEA" w:rsidRPr="009B381E">
              <w:rPr>
                <w:lang w:eastAsia="ro-RO"/>
              </w:rPr>
              <w:t xml:space="preserve"> art. 7 din Regulamentului UE nr. </w:t>
            </w:r>
            <w:r w:rsidR="00EA71B1" w:rsidRPr="009B381E">
              <w:rPr>
                <w:lang w:eastAsia="ro-RO"/>
              </w:rPr>
              <w:t>1060</w:t>
            </w:r>
            <w:r w:rsidR="001A0AEA" w:rsidRPr="009B381E">
              <w:rPr>
                <w:lang w:eastAsia="ro-RO"/>
              </w:rPr>
              <w:t>/20</w:t>
            </w:r>
            <w:r w:rsidR="00EA71B1" w:rsidRPr="009B381E">
              <w:rPr>
                <w:lang w:eastAsia="ro-RO"/>
              </w:rPr>
              <w:t>21</w:t>
            </w:r>
            <w:r w:rsidR="001A0AEA" w:rsidRPr="009B381E">
              <w:rPr>
                <w:lang w:eastAsia="ro-RO"/>
              </w:rPr>
              <w:t>, fondurile europene sunt implementate în gestiune partajată. Conform art.</w:t>
            </w:r>
            <w:r w:rsidR="00EA71B1" w:rsidRPr="009B381E">
              <w:rPr>
                <w:lang w:eastAsia="ro-RO"/>
              </w:rPr>
              <w:t>69</w:t>
            </w:r>
            <w:r w:rsidR="001A0AEA" w:rsidRPr="009B381E">
              <w:rPr>
                <w:lang w:eastAsia="ro-RO"/>
              </w:rPr>
              <w:t xml:space="preserve">, statele membre </w:t>
            </w:r>
            <w:r w:rsidR="00EA71B1" w:rsidRPr="009B381E">
              <w:rPr>
                <w:lang w:eastAsia="ro-RO"/>
              </w:rPr>
              <w:t>î</w:t>
            </w:r>
            <w:r w:rsidR="001A0AEA" w:rsidRPr="009B381E">
              <w:rPr>
                <w:lang w:eastAsia="ro-RO"/>
              </w:rPr>
              <w:t>ndeplinesc sarcinile de gestiune, control și audit și își asumă responsabilităț</w:t>
            </w:r>
            <w:r w:rsidR="00EA71B1" w:rsidRPr="009B381E">
              <w:rPr>
                <w:lang w:eastAsia="ro-RO"/>
              </w:rPr>
              <w:t>ile aferente.  Î</w:t>
            </w:r>
            <w:r w:rsidR="001A0AEA" w:rsidRPr="009B381E">
              <w:rPr>
                <w:lang w:eastAsia="ro-RO"/>
              </w:rPr>
              <w:t xml:space="preserve">n conformitate cu </w:t>
            </w:r>
            <w:r w:rsidR="00EA71B1" w:rsidRPr="009B381E">
              <w:rPr>
                <w:lang w:eastAsia="ro-RO"/>
              </w:rPr>
              <w:t>dispozițiile</w:t>
            </w:r>
            <w:r w:rsidR="001A0AEA" w:rsidRPr="009B381E">
              <w:rPr>
                <w:lang w:eastAsia="ro-RO"/>
              </w:rPr>
              <w:t xml:space="preserve"> art</w:t>
            </w:r>
            <w:r w:rsidR="00EA71B1" w:rsidRPr="009B381E">
              <w:rPr>
                <w:lang w:eastAsia="ro-RO"/>
              </w:rPr>
              <w:t>.</w:t>
            </w:r>
            <w:r w:rsidR="001A0AEA" w:rsidRPr="009B381E">
              <w:rPr>
                <w:lang w:eastAsia="ro-RO"/>
              </w:rPr>
              <w:t xml:space="preserve"> 9 din Ordonanța Guvernului nr.</w:t>
            </w:r>
            <w:r w:rsidR="00EA71B1" w:rsidRPr="009B381E">
              <w:rPr>
                <w:lang w:eastAsia="ro-RO"/>
              </w:rPr>
              <w:t xml:space="preserve"> </w:t>
            </w:r>
            <w:r w:rsidR="001A0AEA" w:rsidRPr="009B381E">
              <w:rPr>
                <w:lang w:eastAsia="ro-RO"/>
              </w:rPr>
              <w:t>119/1999,</w:t>
            </w:r>
            <w:r w:rsidR="00EA71B1" w:rsidRPr="009B381E">
              <w:rPr>
                <w:lang w:eastAsia="ro-RO"/>
              </w:rPr>
              <w:t xml:space="preserve"> republicată, cu modificările și completările ulterioare,</w:t>
            </w:r>
            <w:r w:rsidR="001A0AEA" w:rsidRPr="009B381E">
              <w:rPr>
                <w:lang w:eastAsia="ro-RO"/>
              </w:rPr>
              <w:t xml:space="preserve"> </w:t>
            </w:r>
            <w:r w:rsidR="00EA71B1" w:rsidRPr="009B381E">
              <w:rPr>
                <w:lang w:eastAsia="ro-RO"/>
              </w:rPr>
              <w:t>e</w:t>
            </w:r>
            <w:r w:rsidR="001A0AEA" w:rsidRPr="009B381E">
              <w:rPr>
                <w:lang w:eastAsia="ro-RO"/>
              </w:rPr>
              <w:t xml:space="preserve">ntităţile publice, prin conducătorii acestora, au obligaţia de a organiza controlul financiar preventiv propriu şi evidenta angajamentelor în cadrul compartimentului contabil, iar conducătorii entităţilor publice au obligaţia să stabilească proiectele de operaţiuni supuse controlului financiar preventiv, documentele justificative şi circuitul acestora, cu respectarea dispoziţiilor legale. </w:t>
            </w:r>
          </w:p>
          <w:p w14:paraId="1BDCD8C7" w14:textId="0C491832" w:rsidR="00CD6788" w:rsidRPr="009B381E" w:rsidRDefault="009F06B0" w:rsidP="00805594">
            <w:pPr>
              <w:jc w:val="both"/>
              <w:rPr>
                <w:lang w:eastAsia="ro-RO"/>
              </w:rPr>
            </w:pPr>
            <w:r w:rsidRPr="009B381E">
              <w:rPr>
                <w:lang w:eastAsia="ro-RO"/>
              </w:rPr>
              <w:t xml:space="preserve">      </w:t>
            </w:r>
            <w:r w:rsidR="00EA71B1" w:rsidRPr="009B381E">
              <w:rPr>
                <w:lang w:eastAsia="ro-RO"/>
              </w:rPr>
              <w:t>Luând î</w:t>
            </w:r>
            <w:r w:rsidR="001A0AEA" w:rsidRPr="009B381E">
              <w:rPr>
                <w:lang w:eastAsia="ro-RO"/>
              </w:rPr>
              <w:t>n considerare c</w:t>
            </w:r>
            <w:r w:rsidR="00EA71B1" w:rsidRPr="009B381E">
              <w:rPr>
                <w:lang w:eastAsia="ro-RO"/>
              </w:rPr>
              <w:t>ă</w:t>
            </w:r>
            <w:r w:rsidR="001A0AEA" w:rsidRPr="009B381E">
              <w:rPr>
                <w:lang w:eastAsia="ro-RO"/>
              </w:rPr>
              <w:t xml:space="preserve"> sistemul de gestiune </w:t>
            </w:r>
            <w:r w:rsidR="00EA71B1" w:rsidRPr="009B381E">
              <w:rPr>
                <w:lang w:eastAsia="ro-RO"/>
              </w:rPr>
              <w:t>ș</w:t>
            </w:r>
            <w:r w:rsidR="001A0AEA" w:rsidRPr="009B381E">
              <w:rPr>
                <w:lang w:eastAsia="ro-RO"/>
              </w:rPr>
              <w:t xml:space="preserve">i control existent la nivelul AM-urilor este auditat, controlul financiar preventiv </w:t>
            </w:r>
            <w:r w:rsidR="00EA71B1" w:rsidRPr="009B381E">
              <w:rPr>
                <w:lang w:eastAsia="ro-RO"/>
              </w:rPr>
              <w:t>ș</w:t>
            </w:r>
            <w:r w:rsidR="001A0AEA" w:rsidRPr="009B381E">
              <w:rPr>
                <w:lang w:eastAsia="ro-RO"/>
              </w:rPr>
              <w:t>i auditul fiind activit</w:t>
            </w:r>
            <w:r w:rsidR="00EA71B1" w:rsidRPr="009B381E">
              <w:rPr>
                <w:lang w:eastAsia="ro-RO"/>
              </w:rPr>
              <w:t>ăț</w:t>
            </w:r>
            <w:r w:rsidR="001A0AEA" w:rsidRPr="009B381E">
              <w:rPr>
                <w:lang w:eastAsia="ro-RO"/>
              </w:rPr>
              <w:t xml:space="preserve">i incluse </w:t>
            </w:r>
            <w:r w:rsidR="00EA71B1" w:rsidRPr="009B381E">
              <w:rPr>
                <w:lang w:eastAsia="ro-RO"/>
              </w:rPr>
              <w:t>î</w:t>
            </w:r>
            <w:r w:rsidR="001A0AEA" w:rsidRPr="009B381E">
              <w:rPr>
                <w:lang w:eastAsia="ro-RO"/>
              </w:rPr>
              <w:t xml:space="preserve">n procedurile suspuse </w:t>
            </w:r>
            <w:r w:rsidR="00EA71B1" w:rsidRPr="009B381E">
              <w:rPr>
                <w:lang w:eastAsia="ro-RO"/>
              </w:rPr>
              <w:t>verificării</w:t>
            </w:r>
            <w:r w:rsidR="001A0AEA" w:rsidRPr="009B381E">
              <w:rPr>
                <w:lang w:eastAsia="ro-RO"/>
              </w:rPr>
              <w:t xml:space="preserve">, modul de </w:t>
            </w:r>
            <w:r w:rsidR="00EA71B1" w:rsidRPr="009B381E">
              <w:rPr>
                <w:lang w:eastAsia="ro-RO"/>
              </w:rPr>
              <w:t>desfășurare</w:t>
            </w:r>
            <w:r w:rsidR="001A0AEA" w:rsidRPr="009B381E">
              <w:rPr>
                <w:lang w:eastAsia="ro-RO"/>
              </w:rPr>
              <w:t xml:space="preserve"> </w:t>
            </w:r>
            <w:r w:rsidR="00EA71B1" w:rsidRPr="009B381E">
              <w:rPr>
                <w:lang w:eastAsia="ro-RO"/>
              </w:rPr>
              <w:t>ș</w:t>
            </w:r>
            <w:r w:rsidR="001A0AEA" w:rsidRPr="009B381E">
              <w:rPr>
                <w:lang w:eastAsia="ro-RO"/>
              </w:rPr>
              <w:t xml:space="preserve">i organizare trebuie realizat </w:t>
            </w:r>
            <w:r w:rsidR="00EA71B1" w:rsidRPr="009B381E">
              <w:rPr>
                <w:lang w:eastAsia="ro-RO"/>
              </w:rPr>
              <w:t>î</w:t>
            </w:r>
            <w:r w:rsidR="001A0AEA" w:rsidRPr="009B381E">
              <w:rPr>
                <w:lang w:eastAsia="ro-RO"/>
              </w:rPr>
              <w:t xml:space="preserve">n conformitate cu </w:t>
            </w:r>
            <w:r w:rsidR="00EA71B1" w:rsidRPr="009B381E">
              <w:rPr>
                <w:lang w:eastAsia="ro-RO"/>
              </w:rPr>
              <w:t>cerințele</w:t>
            </w:r>
            <w:r w:rsidR="001A0AEA" w:rsidRPr="009B381E">
              <w:rPr>
                <w:lang w:eastAsia="ro-RO"/>
              </w:rPr>
              <w:t xml:space="preserve"> </w:t>
            </w:r>
            <w:r w:rsidR="00EA71B1" w:rsidRPr="009B381E">
              <w:rPr>
                <w:lang w:eastAsia="ro-RO"/>
              </w:rPr>
              <w:t>regulamentului</w:t>
            </w:r>
            <w:r w:rsidR="001A0AEA" w:rsidRPr="009B381E">
              <w:rPr>
                <w:lang w:eastAsia="ro-RO"/>
              </w:rPr>
              <w:t xml:space="preserve">. Prin urmare </w:t>
            </w:r>
            <w:r w:rsidR="00EA71B1" w:rsidRPr="009B381E">
              <w:rPr>
                <w:lang w:eastAsia="ro-RO"/>
              </w:rPr>
              <w:t>autoritățile</w:t>
            </w:r>
            <w:r w:rsidR="001A0AEA" w:rsidRPr="009B381E">
              <w:rPr>
                <w:lang w:eastAsia="ro-RO"/>
              </w:rPr>
              <w:t xml:space="preserve"> de management </w:t>
            </w:r>
            <w:r w:rsidR="00EA71B1" w:rsidRPr="009B381E">
              <w:rPr>
                <w:lang w:eastAsia="ro-RO"/>
              </w:rPr>
              <w:t>ș</w:t>
            </w:r>
            <w:r w:rsidR="001A0AEA" w:rsidRPr="009B381E">
              <w:rPr>
                <w:lang w:eastAsia="ro-RO"/>
              </w:rPr>
              <w:t xml:space="preserve">i autoritatea de </w:t>
            </w:r>
            <w:r w:rsidR="00300E1C">
              <w:rPr>
                <w:lang w:eastAsia="ro-RO"/>
              </w:rPr>
              <w:t>C</w:t>
            </w:r>
            <w:r w:rsidR="001A0AEA" w:rsidRPr="009B381E">
              <w:rPr>
                <w:lang w:eastAsia="ro-RO"/>
              </w:rPr>
              <w:t>ertificare</w:t>
            </w:r>
            <w:r w:rsidR="00300E1C">
              <w:rPr>
                <w:lang w:eastAsia="ro-RO"/>
              </w:rPr>
              <w:t xml:space="preserve"> și Plată</w:t>
            </w:r>
            <w:r w:rsidR="001A0AEA" w:rsidRPr="009B381E">
              <w:rPr>
                <w:lang w:eastAsia="ro-RO"/>
              </w:rPr>
              <w:t xml:space="preserve">, </w:t>
            </w:r>
            <w:r w:rsidR="00EA71B1" w:rsidRPr="009B381E">
              <w:rPr>
                <w:lang w:eastAsia="ro-RO"/>
              </w:rPr>
              <w:t>î</w:t>
            </w:r>
            <w:r w:rsidR="001A0AEA" w:rsidRPr="009B381E">
              <w:rPr>
                <w:lang w:eastAsia="ro-RO"/>
              </w:rPr>
              <w:t>n aplicarea art.</w:t>
            </w:r>
            <w:r w:rsidR="00EA71B1" w:rsidRPr="009B381E">
              <w:rPr>
                <w:lang w:eastAsia="ro-RO"/>
              </w:rPr>
              <w:t xml:space="preserve"> </w:t>
            </w:r>
            <w:r w:rsidR="001A0AEA" w:rsidRPr="009B381E">
              <w:rPr>
                <w:lang w:eastAsia="ro-RO"/>
              </w:rPr>
              <w:t xml:space="preserve">9 din </w:t>
            </w:r>
            <w:r w:rsidR="00B36020" w:rsidRPr="009B381E">
              <w:rPr>
                <w:lang w:eastAsia="ro-RO"/>
              </w:rPr>
              <w:t>O</w:t>
            </w:r>
            <w:r w:rsidR="00B36020">
              <w:rPr>
                <w:lang w:eastAsia="ro-RO"/>
              </w:rPr>
              <w:t xml:space="preserve">rdonanța </w:t>
            </w:r>
            <w:r w:rsidR="00B36020" w:rsidRPr="009B381E">
              <w:rPr>
                <w:lang w:eastAsia="ro-RO"/>
              </w:rPr>
              <w:t>G</w:t>
            </w:r>
            <w:r w:rsidR="00B36020">
              <w:rPr>
                <w:lang w:eastAsia="ro-RO"/>
              </w:rPr>
              <w:t xml:space="preserve">uvernului </w:t>
            </w:r>
            <w:r w:rsidR="00B36020" w:rsidRPr="009B381E">
              <w:rPr>
                <w:lang w:eastAsia="ro-RO"/>
              </w:rPr>
              <w:t>nr. 119/1999</w:t>
            </w:r>
            <w:r w:rsidR="00B36020">
              <w:rPr>
                <w:lang w:eastAsia="ro-RO"/>
              </w:rPr>
              <w:t xml:space="preserve"> privind controlul intern și controlul financiar preventiv</w:t>
            </w:r>
            <w:r w:rsidR="00B36020" w:rsidRPr="009B381E">
              <w:rPr>
                <w:lang w:eastAsia="ro-RO"/>
              </w:rPr>
              <w:t xml:space="preserve">, </w:t>
            </w:r>
            <w:r w:rsidR="00B36020">
              <w:rPr>
                <w:lang w:eastAsia="ro-RO"/>
              </w:rPr>
              <w:t>republicată</w:t>
            </w:r>
            <w:r w:rsidR="001A0AEA" w:rsidRPr="009B381E">
              <w:rPr>
                <w:lang w:eastAsia="ro-RO"/>
              </w:rPr>
              <w:t xml:space="preserve">, </w:t>
            </w:r>
            <w:r w:rsidR="00EA71B1" w:rsidRPr="009B381E">
              <w:rPr>
                <w:lang w:eastAsia="ro-RO"/>
              </w:rPr>
              <w:t>organizează</w:t>
            </w:r>
            <w:r w:rsidR="001A0AEA" w:rsidRPr="009B381E">
              <w:rPr>
                <w:lang w:eastAsia="ro-RO"/>
              </w:rPr>
              <w:t xml:space="preserve"> ace</w:t>
            </w:r>
            <w:r w:rsidR="00EA71B1" w:rsidRPr="009B381E">
              <w:rPr>
                <w:lang w:eastAsia="ro-RO"/>
              </w:rPr>
              <w:t>a</w:t>
            </w:r>
            <w:r w:rsidR="001A0AEA" w:rsidRPr="009B381E">
              <w:rPr>
                <w:lang w:eastAsia="ro-RO"/>
              </w:rPr>
              <w:t>st</w:t>
            </w:r>
            <w:r w:rsidR="00EA71B1" w:rsidRPr="009B381E">
              <w:rPr>
                <w:lang w:eastAsia="ro-RO"/>
              </w:rPr>
              <w:t>ă</w:t>
            </w:r>
            <w:r w:rsidR="001A0AEA" w:rsidRPr="009B381E">
              <w:rPr>
                <w:lang w:eastAsia="ro-RO"/>
              </w:rPr>
              <w:t xml:space="preserve"> activitate, prin proceduri uniforme, cu respectarea principiului segregării funcțiilor </w:t>
            </w:r>
            <w:r w:rsidR="00EA71B1" w:rsidRPr="009B381E">
              <w:rPr>
                <w:lang w:eastAsia="ro-RO"/>
              </w:rPr>
              <w:t>ș</w:t>
            </w:r>
            <w:r w:rsidR="001A0AEA" w:rsidRPr="009B381E">
              <w:rPr>
                <w:lang w:eastAsia="ro-RO"/>
              </w:rPr>
              <w:t xml:space="preserve">i a cerințelor legale </w:t>
            </w:r>
            <w:r w:rsidR="00EA71B1" w:rsidRPr="009B381E">
              <w:rPr>
                <w:lang w:eastAsia="ro-RO"/>
              </w:rPr>
              <w:t>î</w:t>
            </w:r>
            <w:r w:rsidR="001A0AEA" w:rsidRPr="009B381E">
              <w:rPr>
                <w:lang w:eastAsia="ro-RO"/>
              </w:rPr>
              <w:t>n vigoare.</w:t>
            </w:r>
          </w:p>
          <w:p w14:paraId="1E472D54" w14:textId="450B1932" w:rsidR="009F06B0" w:rsidRPr="009B381E" w:rsidRDefault="009F06B0" w:rsidP="009F06B0">
            <w:pPr>
              <w:jc w:val="both"/>
              <w:rPr>
                <w:lang w:eastAsia="ro-RO"/>
              </w:rPr>
            </w:pPr>
            <w:r w:rsidRPr="009B381E">
              <w:rPr>
                <w:lang w:eastAsia="ro-RO"/>
              </w:rPr>
              <w:t xml:space="preserve">      Ținând cont de prevederile art. 105 din Regulamentul UE nr.1060/2021, conform căruia Comisia Europeană dezangajează orice sumă din cadrul unui program, care nu a fost utilizată pentru prefinanțare în conformitate cu articolul 90 sau pentru care nu a fost depusă o cerere de plată în conformitate cu articolele 91 și 92 până la data de 31 decembrie a celui de al treilea an calendaristic care urmează anului angajamentelor bugetare pentru anii 2021-2026, este imperios necesară adoptarea cadrului legislativ național care reglementează gestionarea financiară a proiectelor finanțate din fonduri europene. </w:t>
            </w:r>
          </w:p>
          <w:p w14:paraId="2BA2AAA3" w14:textId="585D2B80" w:rsidR="009F06B0" w:rsidRPr="009B381E" w:rsidRDefault="009F06B0" w:rsidP="009F06B0">
            <w:pPr>
              <w:jc w:val="both"/>
              <w:rPr>
                <w:lang w:eastAsia="ro-RO"/>
              </w:rPr>
            </w:pPr>
            <w:r w:rsidRPr="009B381E">
              <w:rPr>
                <w:lang w:eastAsia="ro-RO"/>
              </w:rPr>
              <w:t xml:space="preserve">      În absența actului normativ nu pot fi încheiate contractele de finanțare cu beneficiarii selectați, astfel încât pentru aceste proiecte să se demareze implementarea, fapt de natură să determine evitarea dezangajării sumelor alocate anual, prin programele operaționale.</w:t>
            </w:r>
          </w:p>
          <w:p w14:paraId="0103F6BA" w14:textId="5760AF6E" w:rsidR="009F06B0" w:rsidRPr="009B381E" w:rsidRDefault="009F06B0" w:rsidP="009F06B0">
            <w:pPr>
              <w:jc w:val="both"/>
              <w:rPr>
                <w:lang w:eastAsia="ro-RO"/>
              </w:rPr>
            </w:pPr>
            <w:r w:rsidRPr="009B381E">
              <w:rPr>
                <w:lang w:eastAsia="ro-RO"/>
              </w:rPr>
              <w:t xml:space="preserve">     Mai mult decât atât, în absența actului normativ, beneficiarii selectați nu pot demara implementarea efectivă a proiectelor, pe cale de consecință nu pot fi efectuate plăți către beneficiari, fapt de natură să determine dezangajarea sumelor alocate anual.</w:t>
            </w:r>
          </w:p>
          <w:p w14:paraId="4EB05AEC" w14:textId="558F1A4D" w:rsidR="00BD1014" w:rsidRPr="009B381E" w:rsidRDefault="009F06B0" w:rsidP="00805594">
            <w:pPr>
              <w:jc w:val="both"/>
              <w:rPr>
                <w:lang w:eastAsia="ro-RO"/>
              </w:rPr>
            </w:pPr>
            <w:r w:rsidRPr="009B381E">
              <w:rPr>
                <w:lang w:eastAsia="ro-RO"/>
              </w:rPr>
              <w:lastRenderedPageBreak/>
              <w:t xml:space="preserve">    </w:t>
            </w:r>
            <w:r w:rsidR="001A0AEA" w:rsidRPr="009B381E">
              <w:rPr>
                <w:lang w:eastAsia="ro-RO"/>
              </w:rPr>
              <w:t>În considerarea faptului că în lipsa reglementării cadrului financiar general aplicabil exercițiului financiar 20</w:t>
            </w:r>
            <w:r w:rsidR="000D315E" w:rsidRPr="009B381E">
              <w:rPr>
                <w:lang w:eastAsia="ro-RO"/>
              </w:rPr>
              <w:t>21</w:t>
            </w:r>
            <w:r w:rsidR="001A0AEA" w:rsidRPr="009B381E">
              <w:rPr>
                <w:lang w:eastAsia="ro-RO"/>
              </w:rPr>
              <w:t>-202</w:t>
            </w:r>
            <w:r w:rsidR="000D315E" w:rsidRPr="009B381E">
              <w:rPr>
                <w:lang w:eastAsia="ro-RO"/>
              </w:rPr>
              <w:t>7</w:t>
            </w:r>
            <w:r w:rsidR="001A0AEA" w:rsidRPr="009B381E">
              <w:rPr>
                <w:lang w:eastAsia="ro-RO"/>
              </w:rPr>
              <w:t xml:space="preserve"> nu pot fi încheiate și implementate proiecte finanțate din fonduri europene, acest fapt generând riscul dezangajării de sume alocate României, fiind astfel vizat interesul general public şi constituind o situaţie de urgenţă şi extraordinară a căror reglementare nu poate fi amânată, se propune adoptarea prezentului act normativ.</w:t>
            </w:r>
          </w:p>
        </w:tc>
      </w:tr>
      <w:tr w:rsidR="006449AD" w:rsidRPr="009B381E" w14:paraId="4F0A040E" w14:textId="77777777" w:rsidTr="00EA0275">
        <w:trPr>
          <w:trHeight w:val="740"/>
        </w:trPr>
        <w:tc>
          <w:tcPr>
            <w:tcW w:w="2259" w:type="dxa"/>
          </w:tcPr>
          <w:p w14:paraId="444F22DC" w14:textId="5FE41470" w:rsidR="00670C79" w:rsidRPr="009B381E" w:rsidRDefault="00670C79" w:rsidP="00312FF3">
            <w:pPr>
              <w:spacing w:line="276" w:lineRule="auto"/>
              <w:jc w:val="both"/>
            </w:pPr>
            <w:r w:rsidRPr="009B381E">
              <w:lastRenderedPageBreak/>
              <w:t>3.Alte informaţii</w:t>
            </w:r>
          </w:p>
        </w:tc>
        <w:tc>
          <w:tcPr>
            <w:tcW w:w="7938" w:type="dxa"/>
          </w:tcPr>
          <w:p w14:paraId="33DA0BF8" w14:textId="25BC9BB6" w:rsidR="0025682E" w:rsidRPr="009B381E" w:rsidRDefault="00670C79" w:rsidP="002E3BEE">
            <w:pPr>
              <w:widowControl w:val="0"/>
              <w:autoSpaceDE w:val="0"/>
              <w:autoSpaceDN w:val="0"/>
              <w:adjustRightInd w:val="0"/>
              <w:jc w:val="both"/>
            </w:pPr>
            <w:r w:rsidRPr="009B381E">
              <w:rPr>
                <w:lang w:eastAsia="ro-RO"/>
              </w:rPr>
              <w:t xml:space="preserve">Amânarea </w:t>
            </w:r>
            <w:r w:rsidR="002E3AFC" w:rsidRPr="009B381E">
              <w:rPr>
                <w:lang w:eastAsia="ro-RO"/>
              </w:rPr>
              <w:t>adoptării măsurilor propuse ar aduce grave prejudicii, cu efecte pe termen lung asupra proiectelor aflate în pregătire sau în implementare</w:t>
            </w:r>
            <w:r w:rsidRPr="009B381E">
              <w:rPr>
                <w:iCs/>
                <w:lang w:eastAsia="ro-RO"/>
              </w:rPr>
              <w:t>.</w:t>
            </w:r>
          </w:p>
        </w:tc>
      </w:tr>
    </w:tbl>
    <w:p w14:paraId="2DB4CCB7" w14:textId="77777777" w:rsidR="003864F6" w:rsidRPr="009B381E" w:rsidRDefault="00DB715E" w:rsidP="003864F6">
      <w:pPr>
        <w:spacing w:line="276" w:lineRule="auto"/>
        <w:rPr>
          <w:b/>
        </w:rPr>
      </w:pPr>
      <w:r w:rsidRPr="009B381E">
        <w:rPr>
          <w:b/>
        </w:rPr>
        <w:t xml:space="preserve">   </w:t>
      </w:r>
      <w:r w:rsidR="007C16BF" w:rsidRPr="009B381E">
        <w:rPr>
          <w:b/>
        </w:rPr>
        <w:t xml:space="preserve">   </w:t>
      </w:r>
    </w:p>
    <w:p w14:paraId="4E4A7A8E" w14:textId="00B7FEC0" w:rsidR="00670C79" w:rsidRPr="009B381E" w:rsidRDefault="007C16BF" w:rsidP="00A70147">
      <w:pPr>
        <w:spacing w:line="276" w:lineRule="auto"/>
        <w:ind w:left="284"/>
        <w:rPr>
          <w:b/>
        </w:rPr>
      </w:pPr>
      <w:r w:rsidRPr="009B381E">
        <w:rPr>
          <w:b/>
        </w:rPr>
        <w:t xml:space="preserve"> </w:t>
      </w:r>
      <w:r w:rsidR="003864F6" w:rsidRPr="009B381E">
        <w:rPr>
          <w:b/>
        </w:rPr>
        <w:t>Secțiunea</w:t>
      </w:r>
      <w:r w:rsidR="00670C79" w:rsidRPr="009B381E">
        <w:rPr>
          <w:b/>
        </w:rPr>
        <w:t xml:space="preserve">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56"/>
      </w:tblGrid>
      <w:tr w:rsidR="00520BE3" w:rsidRPr="009B381E" w14:paraId="4F7B7B5A" w14:textId="77777777" w:rsidTr="006A5A1B">
        <w:tc>
          <w:tcPr>
            <w:tcW w:w="2684" w:type="dxa"/>
          </w:tcPr>
          <w:p w14:paraId="1A4C81E4" w14:textId="63864073" w:rsidR="00670C79" w:rsidRPr="009B381E" w:rsidRDefault="00670C79" w:rsidP="00A70147">
            <w:r w:rsidRPr="009B381E">
              <w:t>1. Impactul macro</w:t>
            </w:r>
            <w:r w:rsidR="009F22AF" w:rsidRPr="009B381E">
              <w:t xml:space="preserve">- </w:t>
            </w:r>
            <w:r w:rsidRPr="009B381E">
              <w:t>economic</w:t>
            </w:r>
          </w:p>
        </w:tc>
        <w:tc>
          <w:tcPr>
            <w:tcW w:w="7556" w:type="dxa"/>
            <w:vAlign w:val="center"/>
          </w:tcPr>
          <w:p w14:paraId="041FB550" w14:textId="4762FE52" w:rsidR="0025682E" w:rsidRPr="009B381E" w:rsidRDefault="004C0503" w:rsidP="00A70147">
            <w:pPr>
              <w:jc w:val="both"/>
            </w:pPr>
            <w:r w:rsidRPr="009B381E">
              <w:t>Prezentul act normativ nu se referă la acest subiect.</w:t>
            </w:r>
          </w:p>
        </w:tc>
      </w:tr>
      <w:tr w:rsidR="00520BE3" w:rsidRPr="009B381E" w14:paraId="11154DDC" w14:textId="77777777" w:rsidTr="006A5A1B">
        <w:tc>
          <w:tcPr>
            <w:tcW w:w="2684" w:type="dxa"/>
          </w:tcPr>
          <w:p w14:paraId="4F381BDD" w14:textId="77777777" w:rsidR="00670C79" w:rsidRPr="009B381E" w:rsidRDefault="00670C79" w:rsidP="00A70147">
            <w:pPr>
              <w:jc w:val="both"/>
            </w:pPr>
            <w:r w:rsidRPr="009B381E">
              <w:t>1</w:t>
            </w:r>
            <w:r w:rsidRPr="009B381E">
              <w:rPr>
                <w:vertAlign w:val="superscript"/>
              </w:rPr>
              <w:t>1</w:t>
            </w:r>
            <w:r w:rsidRPr="009B381E">
              <w:t>. Impactul asupra mediului concurenţial şi domeniului ajutoarelor de stat</w:t>
            </w:r>
          </w:p>
        </w:tc>
        <w:tc>
          <w:tcPr>
            <w:tcW w:w="7556" w:type="dxa"/>
            <w:vAlign w:val="center"/>
          </w:tcPr>
          <w:p w14:paraId="3691C3E7" w14:textId="77777777" w:rsidR="00670C79" w:rsidRPr="009B381E" w:rsidRDefault="00670C79" w:rsidP="00A70147">
            <w:pPr>
              <w:jc w:val="both"/>
            </w:pPr>
            <w:r w:rsidRPr="009B381E">
              <w:t>Proiectul de act normativ nu se referă la acest subiect.</w:t>
            </w:r>
          </w:p>
        </w:tc>
      </w:tr>
      <w:tr w:rsidR="00520BE3" w:rsidRPr="009B381E" w14:paraId="2B719308" w14:textId="77777777" w:rsidTr="006A5A1B">
        <w:tc>
          <w:tcPr>
            <w:tcW w:w="2684" w:type="dxa"/>
          </w:tcPr>
          <w:p w14:paraId="7958BBB2" w14:textId="77777777" w:rsidR="00670C79" w:rsidRPr="009B381E" w:rsidRDefault="00670C79" w:rsidP="00A70147">
            <w:r w:rsidRPr="009B381E">
              <w:t>2. Impact asupra mediului de afaceri</w:t>
            </w:r>
          </w:p>
        </w:tc>
        <w:tc>
          <w:tcPr>
            <w:tcW w:w="7556" w:type="dxa"/>
            <w:vAlign w:val="center"/>
          </w:tcPr>
          <w:p w14:paraId="41DC7255" w14:textId="77777777" w:rsidR="00670C79" w:rsidRPr="009B381E" w:rsidRDefault="00670C79" w:rsidP="00A70147">
            <w:pPr>
              <w:jc w:val="both"/>
            </w:pPr>
            <w:r w:rsidRPr="009B381E">
              <w:t>Proiectul de act normativ nu se referă la acest subiect.</w:t>
            </w:r>
          </w:p>
          <w:p w14:paraId="5C25A681" w14:textId="77777777" w:rsidR="0025682E" w:rsidRPr="009B381E" w:rsidRDefault="0025682E" w:rsidP="00A70147">
            <w:pPr>
              <w:jc w:val="both"/>
            </w:pPr>
          </w:p>
        </w:tc>
      </w:tr>
      <w:tr w:rsidR="00520BE3" w:rsidRPr="009B381E" w14:paraId="6802A78A" w14:textId="77777777" w:rsidTr="006A5A1B">
        <w:tc>
          <w:tcPr>
            <w:tcW w:w="2684" w:type="dxa"/>
          </w:tcPr>
          <w:p w14:paraId="3F227086" w14:textId="6B31F51A" w:rsidR="00670C79" w:rsidRPr="009B381E" w:rsidRDefault="00670C79" w:rsidP="00A7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B381E">
              <w:rPr>
                <w:lang w:eastAsia="ro-RO"/>
              </w:rPr>
              <w:t>2</w:t>
            </w:r>
            <w:r w:rsidRPr="00B36020">
              <w:rPr>
                <w:vertAlign w:val="superscript"/>
                <w:lang w:eastAsia="ro-RO"/>
              </w:rPr>
              <w:t>1</w:t>
            </w:r>
            <w:r w:rsidRPr="009B381E">
              <w:rPr>
                <w:lang w:eastAsia="ro-RO"/>
              </w:rPr>
              <w:t>. Impactul asupra sarcinilor administrative</w:t>
            </w:r>
          </w:p>
        </w:tc>
        <w:tc>
          <w:tcPr>
            <w:tcW w:w="7556" w:type="dxa"/>
            <w:vAlign w:val="center"/>
          </w:tcPr>
          <w:p w14:paraId="27439D9F" w14:textId="77777777" w:rsidR="00670C79" w:rsidRPr="009B381E" w:rsidRDefault="00670C79" w:rsidP="00A70147">
            <w:pPr>
              <w:jc w:val="both"/>
            </w:pPr>
            <w:r w:rsidRPr="009B381E">
              <w:t>Proiectul de act normativ nu se referă la acest subiect.</w:t>
            </w:r>
          </w:p>
        </w:tc>
      </w:tr>
      <w:tr w:rsidR="00520BE3" w:rsidRPr="009B381E" w14:paraId="1EE623DB" w14:textId="77777777" w:rsidTr="006A5A1B">
        <w:tc>
          <w:tcPr>
            <w:tcW w:w="2684" w:type="dxa"/>
          </w:tcPr>
          <w:p w14:paraId="48E23D9D" w14:textId="7694D676" w:rsidR="00670C79" w:rsidRPr="009B381E" w:rsidRDefault="00670C79" w:rsidP="00A70147">
            <w:pPr>
              <w:pStyle w:val="HTMLPreformatted"/>
              <w:shd w:val="clear" w:color="auto" w:fill="FFFFFF"/>
              <w:jc w:val="both"/>
              <w:rPr>
                <w:rFonts w:ascii="Times New Roman" w:hAnsi="Times New Roman" w:cs="Times New Roman"/>
                <w:sz w:val="24"/>
                <w:szCs w:val="24"/>
              </w:rPr>
            </w:pPr>
            <w:r w:rsidRPr="009B381E">
              <w:rPr>
                <w:rFonts w:ascii="Times New Roman" w:hAnsi="Times New Roman" w:cs="Times New Roman"/>
                <w:sz w:val="24"/>
                <w:szCs w:val="24"/>
              </w:rPr>
              <w:t>2</w:t>
            </w:r>
            <w:r w:rsidRPr="00B36020">
              <w:rPr>
                <w:rFonts w:ascii="Times New Roman" w:hAnsi="Times New Roman" w:cs="Times New Roman"/>
                <w:sz w:val="24"/>
                <w:szCs w:val="24"/>
                <w:vertAlign w:val="superscript"/>
              </w:rPr>
              <w:t>2</w:t>
            </w:r>
            <w:r w:rsidRPr="009B381E">
              <w:rPr>
                <w:rFonts w:ascii="Times New Roman" w:hAnsi="Times New Roman" w:cs="Times New Roman"/>
                <w:sz w:val="24"/>
                <w:szCs w:val="24"/>
              </w:rPr>
              <w:t>. Impactul asupra întreprinderilor mici și mijlocii</w:t>
            </w:r>
          </w:p>
        </w:tc>
        <w:tc>
          <w:tcPr>
            <w:tcW w:w="7556" w:type="dxa"/>
            <w:vAlign w:val="center"/>
          </w:tcPr>
          <w:p w14:paraId="2A6279C4" w14:textId="77777777" w:rsidR="00670C79" w:rsidRPr="009B381E" w:rsidRDefault="00670C79" w:rsidP="00A70147">
            <w:pPr>
              <w:jc w:val="both"/>
            </w:pPr>
            <w:r w:rsidRPr="009B381E">
              <w:t>Proiectul de act normativ nu se referă la acest subiect.</w:t>
            </w:r>
          </w:p>
        </w:tc>
      </w:tr>
      <w:tr w:rsidR="00520BE3" w:rsidRPr="009B381E" w14:paraId="4036C85E" w14:textId="77777777" w:rsidTr="006A5A1B">
        <w:tc>
          <w:tcPr>
            <w:tcW w:w="2684" w:type="dxa"/>
          </w:tcPr>
          <w:p w14:paraId="7DFA3F41" w14:textId="7C924AD5" w:rsidR="00670C79" w:rsidRPr="009B381E" w:rsidRDefault="00670C79" w:rsidP="00A70147">
            <w:r w:rsidRPr="009B381E">
              <w:t>3. Imp</w:t>
            </w:r>
            <w:r w:rsidR="009F22AF" w:rsidRPr="009B381E">
              <w:t>a</w:t>
            </w:r>
            <w:r w:rsidR="00AA59A0" w:rsidRPr="009B381E">
              <w:t>c</w:t>
            </w:r>
            <w:r w:rsidR="009F22AF" w:rsidRPr="009B381E">
              <w:t xml:space="preserve">tul </w:t>
            </w:r>
            <w:r w:rsidRPr="009B381E">
              <w:t>social</w:t>
            </w:r>
          </w:p>
        </w:tc>
        <w:tc>
          <w:tcPr>
            <w:tcW w:w="7556" w:type="dxa"/>
            <w:vAlign w:val="center"/>
          </w:tcPr>
          <w:p w14:paraId="7B2B1E4F" w14:textId="29883846" w:rsidR="00670C79" w:rsidRPr="009B381E" w:rsidRDefault="00670C79" w:rsidP="00A70147">
            <w:pPr>
              <w:jc w:val="both"/>
            </w:pPr>
          </w:p>
        </w:tc>
      </w:tr>
      <w:tr w:rsidR="00520BE3" w:rsidRPr="009B381E" w14:paraId="59D45322" w14:textId="77777777" w:rsidTr="006A5A1B">
        <w:tc>
          <w:tcPr>
            <w:tcW w:w="2684" w:type="dxa"/>
          </w:tcPr>
          <w:p w14:paraId="10B187CE" w14:textId="77777777" w:rsidR="00670C79" w:rsidRPr="009B381E" w:rsidRDefault="00670C79" w:rsidP="00A70147">
            <w:r w:rsidRPr="009B381E">
              <w:t>4. Impact asupra mediului</w:t>
            </w:r>
          </w:p>
        </w:tc>
        <w:tc>
          <w:tcPr>
            <w:tcW w:w="7556" w:type="dxa"/>
            <w:vAlign w:val="center"/>
          </w:tcPr>
          <w:p w14:paraId="05B3B285" w14:textId="77777777" w:rsidR="00670C79" w:rsidRPr="009B381E" w:rsidRDefault="00670C79" w:rsidP="00A70147">
            <w:pPr>
              <w:jc w:val="both"/>
            </w:pPr>
            <w:r w:rsidRPr="009B381E">
              <w:t>Proiectul de act normativ nu se referă la acest subiect.</w:t>
            </w:r>
          </w:p>
        </w:tc>
      </w:tr>
      <w:tr w:rsidR="006449AD" w:rsidRPr="009B381E" w14:paraId="32110270" w14:textId="77777777" w:rsidTr="006A5A1B">
        <w:tc>
          <w:tcPr>
            <w:tcW w:w="2684" w:type="dxa"/>
          </w:tcPr>
          <w:p w14:paraId="41862FBF" w14:textId="77777777" w:rsidR="00670C79" w:rsidRPr="009B381E" w:rsidRDefault="00670C79" w:rsidP="00A70147">
            <w:r w:rsidRPr="009B381E">
              <w:t>5. Alte informaţii</w:t>
            </w:r>
          </w:p>
        </w:tc>
        <w:tc>
          <w:tcPr>
            <w:tcW w:w="7556" w:type="dxa"/>
            <w:vAlign w:val="center"/>
          </w:tcPr>
          <w:p w14:paraId="53E2778B" w14:textId="77777777" w:rsidR="00670C79" w:rsidRPr="009B381E" w:rsidRDefault="00670C79" w:rsidP="00A70147">
            <w:pPr>
              <w:jc w:val="both"/>
            </w:pPr>
            <w:r w:rsidRPr="009B381E">
              <w:t>Nu au fost identificate.</w:t>
            </w:r>
          </w:p>
        </w:tc>
      </w:tr>
    </w:tbl>
    <w:p w14:paraId="40C7093F" w14:textId="5C8B0A07" w:rsidR="0025682E" w:rsidRDefault="0025682E" w:rsidP="00A70147">
      <w:pPr>
        <w:ind w:left="180"/>
        <w:jc w:val="both"/>
        <w:rPr>
          <w:b/>
        </w:rPr>
      </w:pPr>
    </w:p>
    <w:p w14:paraId="34AED0C5" w14:textId="4E9208CE" w:rsidR="00670C79" w:rsidRPr="009B381E" w:rsidRDefault="00670C79" w:rsidP="00312FF3">
      <w:pPr>
        <w:spacing w:line="276" w:lineRule="auto"/>
        <w:ind w:left="180"/>
        <w:jc w:val="both"/>
        <w:rPr>
          <w:b/>
        </w:rPr>
      </w:pPr>
      <w:r w:rsidRPr="009B381E">
        <w:rPr>
          <w:b/>
        </w:rPr>
        <w:t xml:space="preserve">Secţiunea a 4-a. Impactul financiar asupra bugetului de stat consolidat, atât pe termen scurt, pentru </w:t>
      </w:r>
      <w:r w:rsidR="007C16BF" w:rsidRPr="009B381E">
        <w:rPr>
          <w:b/>
        </w:rPr>
        <w:t xml:space="preserve">  </w:t>
      </w:r>
      <w:r w:rsidR="00DB71DB" w:rsidRPr="009B381E">
        <w:rPr>
          <w:b/>
        </w:rPr>
        <w:t xml:space="preserve">  </w:t>
      </w:r>
      <w:r w:rsidRPr="009B381E">
        <w:rPr>
          <w:b/>
        </w:rPr>
        <w:t>anul curent, cât şi pe termen lung (pe 5 ani)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1058"/>
        <w:gridCol w:w="1366"/>
        <w:gridCol w:w="1466"/>
        <w:gridCol w:w="1366"/>
        <w:gridCol w:w="1135"/>
        <w:gridCol w:w="1448"/>
      </w:tblGrid>
      <w:tr w:rsidR="00520BE3" w:rsidRPr="009B381E" w14:paraId="57D824B3" w14:textId="77777777" w:rsidTr="00312FF3">
        <w:tc>
          <w:tcPr>
            <w:tcW w:w="2401" w:type="dxa"/>
          </w:tcPr>
          <w:p w14:paraId="318BEE35" w14:textId="77777777" w:rsidR="00670C79" w:rsidRPr="009B381E" w:rsidRDefault="00670C79" w:rsidP="00312FF3">
            <w:pPr>
              <w:pStyle w:val="Heading2"/>
              <w:spacing w:line="276" w:lineRule="auto"/>
              <w:rPr>
                <w:sz w:val="24"/>
              </w:rPr>
            </w:pPr>
            <w:r w:rsidRPr="009B381E">
              <w:rPr>
                <w:sz w:val="24"/>
              </w:rPr>
              <w:t>Indicatori</w:t>
            </w:r>
          </w:p>
        </w:tc>
        <w:tc>
          <w:tcPr>
            <w:tcW w:w="1058" w:type="dxa"/>
          </w:tcPr>
          <w:p w14:paraId="603E3C85" w14:textId="77777777" w:rsidR="00670C79" w:rsidRPr="009B381E" w:rsidRDefault="00670C79" w:rsidP="00312FF3">
            <w:pPr>
              <w:spacing w:line="276" w:lineRule="auto"/>
              <w:jc w:val="center"/>
            </w:pPr>
            <w:r w:rsidRPr="009B381E">
              <w:t>An curent</w:t>
            </w:r>
          </w:p>
        </w:tc>
        <w:tc>
          <w:tcPr>
            <w:tcW w:w="5333" w:type="dxa"/>
            <w:gridSpan w:val="4"/>
          </w:tcPr>
          <w:p w14:paraId="4EA4AF47" w14:textId="77777777" w:rsidR="00670C79" w:rsidRPr="009B381E" w:rsidRDefault="00670C79" w:rsidP="00312FF3">
            <w:pPr>
              <w:spacing w:line="276" w:lineRule="auto"/>
              <w:jc w:val="center"/>
            </w:pPr>
            <w:r w:rsidRPr="009B381E">
              <w:t>Următorii 4 ani</w:t>
            </w:r>
          </w:p>
        </w:tc>
        <w:tc>
          <w:tcPr>
            <w:tcW w:w="1448" w:type="dxa"/>
          </w:tcPr>
          <w:p w14:paraId="1EE52564" w14:textId="77777777" w:rsidR="00670C79" w:rsidRPr="009B381E" w:rsidRDefault="00670C79" w:rsidP="00312FF3">
            <w:pPr>
              <w:spacing w:line="276" w:lineRule="auto"/>
              <w:jc w:val="center"/>
            </w:pPr>
            <w:r w:rsidRPr="009B381E">
              <w:t>Media următorilor 5 ani, după anul curent</w:t>
            </w:r>
          </w:p>
        </w:tc>
      </w:tr>
      <w:tr w:rsidR="00520BE3" w:rsidRPr="009B381E" w14:paraId="31AEB740" w14:textId="77777777" w:rsidTr="00312FF3">
        <w:tc>
          <w:tcPr>
            <w:tcW w:w="2401" w:type="dxa"/>
          </w:tcPr>
          <w:p w14:paraId="1A04C9C9" w14:textId="77777777" w:rsidR="00670C79" w:rsidRPr="009B381E" w:rsidRDefault="00670C79" w:rsidP="00312FF3">
            <w:pPr>
              <w:spacing w:line="276" w:lineRule="auto"/>
              <w:jc w:val="center"/>
            </w:pPr>
            <w:r w:rsidRPr="009B381E">
              <w:t>1</w:t>
            </w:r>
          </w:p>
        </w:tc>
        <w:tc>
          <w:tcPr>
            <w:tcW w:w="1058" w:type="dxa"/>
            <w:vAlign w:val="center"/>
          </w:tcPr>
          <w:p w14:paraId="44BDE6EE" w14:textId="77777777" w:rsidR="00670C79" w:rsidRPr="009B381E" w:rsidRDefault="00670C79" w:rsidP="00312FF3">
            <w:pPr>
              <w:spacing w:line="276" w:lineRule="auto"/>
              <w:jc w:val="center"/>
            </w:pPr>
            <w:r w:rsidRPr="009B381E">
              <w:t>2</w:t>
            </w:r>
          </w:p>
        </w:tc>
        <w:tc>
          <w:tcPr>
            <w:tcW w:w="1366" w:type="dxa"/>
            <w:vAlign w:val="center"/>
          </w:tcPr>
          <w:p w14:paraId="44511A2B" w14:textId="77777777" w:rsidR="00670C79" w:rsidRPr="009B381E" w:rsidRDefault="00670C79" w:rsidP="00312FF3">
            <w:pPr>
              <w:spacing w:line="276" w:lineRule="auto"/>
              <w:jc w:val="center"/>
            </w:pPr>
            <w:r w:rsidRPr="009B381E">
              <w:t>3</w:t>
            </w:r>
          </w:p>
        </w:tc>
        <w:tc>
          <w:tcPr>
            <w:tcW w:w="1466" w:type="dxa"/>
            <w:vAlign w:val="center"/>
          </w:tcPr>
          <w:p w14:paraId="7665B810" w14:textId="77777777" w:rsidR="00670C79" w:rsidRPr="009B381E" w:rsidRDefault="00670C79" w:rsidP="00312FF3">
            <w:pPr>
              <w:spacing w:line="276" w:lineRule="auto"/>
              <w:jc w:val="center"/>
            </w:pPr>
            <w:r w:rsidRPr="009B381E">
              <w:t>4</w:t>
            </w:r>
          </w:p>
        </w:tc>
        <w:tc>
          <w:tcPr>
            <w:tcW w:w="1366" w:type="dxa"/>
            <w:vAlign w:val="center"/>
          </w:tcPr>
          <w:p w14:paraId="375332DA" w14:textId="77777777" w:rsidR="00670C79" w:rsidRPr="009B381E" w:rsidRDefault="00670C79" w:rsidP="00312FF3">
            <w:pPr>
              <w:spacing w:line="276" w:lineRule="auto"/>
              <w:jc w:val="center"/>
            </w:pPr>
            <w:r w:rsidRPr="009B381E">
              <w:t>5</w:t>
            </w:r>
          </w:p>
        </w:tc>
        <w:tc>
          <w:tcPr>
            <w:tcW w:w="1135" w:type="dxa"/>
            <w:vAlign w:val="center"/>
          </w:tcPr>
          <w:p w14:paraId="0DD2A48C" w14:textId="77777777" w:rsidR="00670C79" w:rsidRPr="009B381E" w:rsidRDefault="00670C79" w:rsidP="00312FF3">
            <w:pPr>
              <w:spacing w:line="276" w:lineRule="auto"/>
              <w:jc w:val="center"/>
            </w:pPr>
            <w:r w:rsidRPr="009B381E">
              <w:t>6</w:t>
            </w:r>
          </w:p>
        </w:tc>
        <w:tc>
          <w:tcPr>
            <w:tcW w:w="1448" w:type="dxa"/>
            <w:vAlign w:val="center"/>
          </w:tcPr>
          <w:p w14:paraId="64FF500C" w14:textId="77777777" w:rsidR="00670C79" w:rsidRPr="009B381E" w:rsidRDefault="00670C79" w:rsidP="00312FF3">
            <w:pPr>
              <w:spacing w:line="276" w:lineRule="auto"/>
              <w:jc w:val="center"/>
            </w:pPr>
            <w:r w:rsidRPr="009B381E">
              <w:t>7</w:t>
            </w:r>
          </w:p>
        </w:tc>
      </w:tr>
      <w:tr w:rsidR="00520BE3" w:rsidRPr="009B381E" w14:paraId="24F374CE" w14:textId="77777777" w:rsidTr="00312FF3">
        <w:tc>
          <w:tcPr>
            <w:tcW w:w="2401" w:type="dxa"/>
          </w:tcPr>
          <w:p w14:paraId="16B8D264" w14:textId="77777777" w:rsidR="00670C79" w:rsidRPr="009B381E" w:rsidRDefault="00670C79" w:rsidP="00A70147">
            <w:pPr>
              <w:jc w:val="both"/>
            </w:pPr>
            <w:r w:rsidRPr="009B381E">
              <w:t>1.Modificări ale veniturilor bugetare, plus/minus, din care:</w:t>
            </w:r>
          </w:p>
          <w:p w14:paraId="4B6C0C63" w14:textId="77777777" w:rsidR="00670C79" w:rsidRPr="009B381E" w:rsidRDefault="00670C79" w:rsidP="00A70147">
            <w:pPr>
              <w:jc w:val="both"/>
            </w:pPr>
            <w:r w:rsidRPr="009B381E">
              <w:t>a)bugetul de stat, din acesta:</w:t>
            </w:r>
          </w:p>
          <w:p w14:paraId="0B240570" w14:textId="77777777" w:rsidR="00670C79" w:rsidRPr="009B381E" w:rsidRDefault="00670C79" w:rsidP="00A70147">
            <w:pPr>
              <w:jc w:val="both"/>
            </w:pPr>
            <w:r w:rsidRPr="009B381E">
              <w:t>-impozit pe profit</w:t>
            </w:r>
          </w:p>
          <w:p w14:paraId="7FF15A7F" w14:textId="77777777" w:rsidR="00670C79" w:rsidRPr="009B381E" w:rsidRDefault="00670C79" w:rsidP="00A70147">
            <w:pPr>
              <w:jc w:val="both"/>
            </w:pPr>
            <w:r w:rsidRPr="009B381E">
              <w:t>-impozit pe venit</w:t>
            </w:r>
          </w:p>
          <w:p w14:paraId="6929BEE8" w14:textId="77777777" w:rsidR="00670C79" w:rsidRPr="009B381E" w:rsidRDefault="00670C79" w:rsidP="00A70147">
            <w:pPr>
              <w:jc w:val="both"/>
            </w:pPr>
            <w:r w:rsidRPr="009B381E">
              <w:t>b)bugete locale:</w:t>
            </w:r>
          </w:p>
          <w:p w14:paraId="018DC564" w14:textId="77777777" w:rsidR="00670C79" w:rsidRPr="009B381E" w:rsidRDefault="00670C79" w:rsidP="00A70147">
            <w:pPr>
              <w:jc w:val="both"/>
            </w:pPr>
            <w:r w:rsidRPr="009B381E">
              <w:t>-impozit pe profit</w:t>
            </w:r>
          </w:p>
          <w:p w14:paraId="36DA5184" w14:textId="77777777" w:rsidR="00670C79" w:rsidRPr="009B381E" w:rsidRDefault="00670C79" w:rsidP="00A70147">
            <w:pPr>
              <w:jc w:val="both"/>
            </w:pPr>
            <w:r w:rsidRPr="009B381E">
              <w:t>c)bugetul asigurărilor sociale</w:t>
            </w:r>
          </w:p>
          <w:p w14:paraId="7075F3AB" w14:textId="01F98C89" w:rsidR="0025682E" w:rsidRPr="009B381E" w:rsidRDefault="00670C79" w:rsidP="00A70147">
            <w:pPr>
              <w:jc w:val="both"/>
            </w:pPr>
            <w:r w:rsidRPr="009B381E">
              <w:t>-contribuţii de asigurări</w:t>
            </w:r>
          </w:p>
        </w:tc>
        <w:tc>
          <w:tcPr>
            <w:tcW w:w="1058" w:type="dxa"/>
          </w:tcPr>
          <w:p w14:paraId="7811CDB2" w14:textId="77777777" w:rsidR="00670C79" w:rsidRPr="009B381E" w:rsidRDefault="00670C79" w:rsidP="00312FF3">
            <w:pPr>
              <w:pStyle w:val="BodyText2"/>
              <w:spacing w:line="276" w:lineRule="auto"/>
              <w:rPr>
                <w:sz w:val="24"/>
              </w:rPr>
            </w:pPr>
          </w:p>
        </w:tc>
        <w:tc>
          <w:tcPr>
            <w:tcW w:w="1366" w:type="dxa"/>
          </w:tcPr>
          <w:p w14:paraId="5E0D1921" w14:textId="77777777" w:rsidR="00670C79" w:rsidRPr="009B381E" w:rsidRDefault="00670C79" w:rsidP="00312FF3">
            <w:pPr>
              <w:pStyle w:val="BodyText2"/>
              <w:spacing w:line="276" w:lineRule="auto"/>
              <w:rPr>
                <w:sz w:val="24"/>
              </w:rPr>
            </w:pPr>
          </w:p>
        </w:tc>
        <w:tc>
          <w:tcPr>
            <w:tcW w:w="1466" w:type="dxa"/>
          </w:tcPr>
          <w:p w14:paraId="3789DD62" w14:textId="77777777" w:rsidR="00670C79" w:rsidRPr="009B381E" w:rsidRDefault="00670C79" w:rsidP="00312FF3">
            <w:pPr>
              <w:pStyle w:val="BodyText2"/>
              <w:spacing w:line="276" w:lineRule="auto"/>
              <w:rPr>
                <w:sz w:val="24"/>
              </w:rPr>
            </w:pPr>
          </w:p>
        </w:tc>
        <w:tc>
          <w:tcPr>
            <w:tcW w:w="1366" w:type="dxa"/>
          </w:tcPr>
          <w:p w14:paraId="3EFEBCA3" w14:textId="77777777" w:rsidR="00670C79" w:rsidRPr="009B381E" w:rsidRDefault="00670C79" w:rsidP="00312FF3">
            <w:pPr>
              <w:pStyle w:val="BodyText2"/>
              <w:spacing w:line="276" w:lineRule="auto"/>
              <w:rPr>
                <w:sz w:val="24"/>
              </w:rPr>
            </w:pPr>
          </w:p>
        </w:tc>
        <w:tc>
          <w:tcPr>
            <w:tcW w:w="1135" w:type="dxa"/>
          </w:tcPr>
          <w:p w14:paraId="4D97905B" w14:textId="77777777" w:rsidR="00670C79" w:rsidRPr="009B381E" w:rsidRDefault="00670C79" w:rsidP="00312FF3">
            <w:pPr>
              <w:pStyle w:val="BodyText2"/>
              <w:spacing w:line="276" w:lineRule="auto"/>
              <w:rPr>
                <w:sz w:val="24"/>
              </w:rPr>
            </w:pPr>
          </w:p>
        </w:tc>
        <w:tc>
          <w:tcPr>
            <w:tcW w:w="1448" w:type="dxa"/>
          </w:tcPr>
          <w:p w14:paraId="4A89D66A" w14:textId="77777777" w:rsidR="00670C79" w:rsidRPr="009B381E" w:rsidRDefault="00670C79" w:rsidP="00312FF3">
            <w:pPr>
              <w:pStyle w:val="BodyText2"/>
              <w:spacing w:line="276" w:lineRule="auto"/>
              <w:rPr>
                <w:sz w:val="24"/>
              </w:rPr>
            </w:pPr>
          </w:p>
        </w:tc>
      </w:tr>
      <w:tr w:rsidR="00520BE3" w:rsidRPr="009B381E" w14:paraId="126F1061" w14:textId="77777777" w:rsidTr="00312FF3">
        <w:tc>
          <w:tcPr>
            <w:tcW w:w="2401" w:type="dxa"/>
          </w:tcPr>
          <w:p w14:paraId="2AD4C393" w14:textId="77777777" w:rsidR="00ED5D29" w:rsidRPr="009B381E" w:rsidRDefault="00ED5D29" w:rsidP="00A70147">
            <w:pPr>
              <w:jc w:val="both"/>
            </w:pPr>
            <w:r w:rsidRPr="009B381E">
              <w:lastRenderedPageBreak/>
              <w:t>2.Modificări ale cheltuielilor bugetare din care:</w:t>
            </w:r>
          </w:p>
          <w:p w14:paraId="3F5FB5D8" w14:textId="77777777" w:rsidR="00ED5D29" w:rsidRPr="009B381E" w:rsidRDefault="00ED5D29" w:rsidP="00A70147">
            <w:pPr>
              <w:jc w:val="both"/>
            </w:pPr>
            <w:r w:rsidRPr="009B381E">
              <w:t>a)bugetul de stat, din acesta:</w:t>
            </w:r>
          </w:p>
          <w:p w14:paraId="55CFF855" w14:textId="77777777" w:rsidR="00ED5D29" w:rsidRPr="009B381E" w:rsidRDefault="00ED5D29" w:rsidP="00A70147">
            <w:pPr>
              <w:jc w:val="both"/>
            </w:pPr>
            <w:r w:rsidRPr="009B381E">
              <w:t>-cheltuieli de personal</w:t>
            </w:r>
          </w:p>
          <w:p w14:paraId="2676BF0E" w14:textId="77777777" w:rsidR="00ED5D29" w:rsidRPr="009B381E" w:rsidRDefault="00ED5D29" w:rsidP="00A70147">
            <w:pPr>
              <w:jc w:val="both"/>
            </w:pPr>
            <w:r w:rsidRPr="009B381E">
              <w:t>-bunuri şi servicii</w:t>
            </w:r>
          </w:p>
          <w:p w14:paraId="348C3E53" w14:textId="77777777" w:rsidR="00ED5D29" w:rsidRPr="009B381E" w:rsidRDefault="00ED5D29" w:rsidP="00A70147">
            <w:pPr>
              <w:jc w:val="both"/>
            </w:pPr>
            <w:r w:rsidRPr="009B381E">
              <w:t>b)bugete locale:</w:t>
            </w:r>
          </w:p>
          <w:p w14:paraId="033FBF83" w14:textId="77777777" w:rsidR="00ED5D29" w:rsidRPr="009B381E" w:rsidRDefault="00ED5D29" w:rsidP="00A70147">
            <w:pPr>
              <w:jc w:val="both"/>
            </w:pPr>
            <w:r w:rsidRPr="009B381E">
              <w:t>-cheltuieli de personal</w:t>
            </w:r>
          </w:p>
          <w:p w14:paraId="3FA2B166" w14:textId="77777777" w:rsidR="00ED5D29" w:rsidRPr="009B381E" w:rsidRDefault="00ED5D29" w:rsidP="00A70147">
            <w:pPr>
              <w:jc w:val="both"/>
            </w:pPr>
            <w:r w:rsidRPr="009B381E">
              <w:t>-bunuri şi servicii</w:t>
            </w:r>
          </w:p>
          <w:p w14:paraId="5F7C615C" w14:textId="77777777" w:rsidR="00ED5D29" w:rsidRPr="009B381E" w:rsidRDefault="00ED5D29" w:rsidP="00A70147">
            <w:pPr>
              <w:jc w:val="both"/>
            </w:pPr>
            <w:r w:rsidRPr="009B381E">
              <w:t>c)bugetul asigurărilor sociale</w:t>
            </w:r>
          </w:p>
          <w:p w14:paraId="41AFE5F5" w14:textId="77777777" w:rsidR="00ED5D29" w:rsidRPr="009B381E" w:rsidRDefault="00ED5D29" w:rsidP="00A70147">
            <w:pPr>
              <w:jc w:val="both"/>
            </w:pPr>
            <w:r w:rsidRPr="009B381E">
              <w:t>-cheltuieli de personal</w:t>
            </w:r>
          </w:p>
          <w:p w14:paraId="1415B230" w14:textId="5D911D03" w:rsidR="0025682E" w:rsidRPr="009B381E" w:rsidRDefault="00ED5D29" w:rsidP="00A70147">
            <w:pPr>
              <w:jc w:val="both"/>
            </w:pPr>
            <w:r w:rsidRPr="009B381E">
              <w:t>-bunuri şi servicii</w:t>
            </w:r>
          </w:p>
        </w:tc>
        <w:tc>
          <w:tcPr>
            <w:tcW w:w="1058" w:type="dxa"/>
          </w:tcPr>
          <w:p w14:paraId="7BB1C451" w14:textId="3A3864A6" w:rsidR="00E62BA0" w:rsidRPr="009B381E" w:rsidRDefault="00E62BA0" w:rsidP="00CE2DFA">
            <w:pPr>
              <w:spacing w:line="276" w:lineRule="auto"/>
              <w:jc w:val="center"/>
            </w:pPr>
          </w:p>
        </w:tc>
        <w:tc>
          <w:tcPr>
            <w:tcW w:w="1366" w:type="dxa"/>
          </w:tcPr>
          <w:p w14:paraId="44C5A3FF" w14:textId="75FE5CBB" w:rsidR="00E62BA0" w:rsidRPr="009B381E" w:rsidRDefault="00E62BA0" w:rsidP="00CE2DFA">
            <w:pPr>
              <w:spacing w:line="276" w:lineRule="auto"/>
              <w:jc w:val="center"/>
            </w:pPr>
          </w:p>
        </w:tc>
        <w:tc>
          <w:tcPr>
            <w:tcW w:w="1466" w:type="dxa"/>
          </w:tcPr>
          <w:p w14:paraId="1702DFD2" w14:textId="6D9B32F2" w:rsidR="00E62BA0" w:rsidRPr="009B381E" w:rsidRDefault="00E62BA0" w:rsidP="00CE2DFA">
            <w:pPr>
              <w:spacing w:line="276" w:lineRule="auto"/>
              <w:jc w:val="center"/>
            </w:pPr>
          </w:p>
        </w:tc>
        <w:tc>
          <w:tcPr>
            <w:tcW w:w="1366" w:type="dxa"/>
          </w:tcPr>
          <w:p w14:paraId="1D7B38D6" w14:textId="659DB0F9" w:rsidR="00E62BA0" w:rsidRPr="009B381E" w:rsidRDefault="00E62BA0" w:rsidP="00CE2DFA">
            <w:pPr>
              <w:spacing w:line="276" w:lineRule="auto"/>
              <w:jc w:val="center"/>
            </w:pPr>
          </w:p>
        </w:tc>
        <w:tc>
          <w:tcPr>
            <w:tcW w:w="1135" w:type="dxa"/>
          </w:tcPr>
          <w:p w14:paraId="09F7CD9E" w14:textId="2AFA766B" w:rsidR="00E62BA0" w:rsidRPr="009B381E" w:rsidRDefault="00E62BA0" w:rsidP="00CE2DFA">
            <w:pPr>
              <w:spacing w:line="276" w:lineRule="auto"/>
              <w:jc w:val="center"/>
            </w:pPr>
          </w:p>
        </w:tc>
        <w:tc>
          <w:tcPr>
            <w:tcW w:w="1448" w:type="dxa"/>
          </w:tcPr>
          <w:p w14:paraId="16493B27" w14:textId="191A8F5C" w:rsidR="00E62BA0" w:rsidRPr="009B381E" w:rsidRDefault="00E62BA0" w:rsidP="00095300">
            <w:pPr>
              <w:spacing w:line="276" w:lineRule="auto"/>
              <w:jc w:val="center"/>
            </w:pPr>
          </w:p>
        </w:tc>
      </w:tr>
      <w:tr w:rsidR="00520BE3" w:rsidRPr="009B381E" w14:paraId="260B3CE9" w14:textId="77777777" w:rsidTr="00312FF3">
        <w:tc>
          <w:tcPr>
            <w:tcW w:w="2401" w:type="dxa"/>
          </w:tcPr>
          <w:p w14:paraId="49D40F1D" w14:textId="77777777" w:rsidR="00ED5D29" w:rsidRPr="009B381E" w:rsidRDefault="00ED5D29" w:rsidP="00A70147">
            <w:pPr>
              <w:jc w:val="both"/>
            </w:pPr>
            <w:r w:rsidRPr="009B381E">
              <w:t>3.Impact financiar, plus/minus, din care:</w:t>
            </w:r>
          </w:p>
          <w:p w14:paraId="67549603" w14:textId="77777777" w:rsidR="00ED5D29" w:rsidRPr="009B381E" w:rsidRDefault="00ED5D29" w:rsidP="00A70147">
            <w:pPr>
              <w:jc w:val="both"/>
            </w:pPr>
            <w:r w:rsidRPr="009B381E">
              <w:t>a) buget de stat</w:t>
            </w:r>
          </w:p>
          <w:p w14:paraId="330BE00F" w14:textId="77777777" w:rsidR="00ED5D29" w:rsidRPr="009B381E" w:rsidRDefault="00ED5D29" w:rsidP="00A70147">
            <w:pPr>
              <w:jc w:val="both"/>
            </w:pPr>
            <w:r w:rsidRPr="009B381E">
              <w:t>b)bugete locale</w:t>
            </w:r>
          </w:p>
        </w:tc>
        <w:tc>
          <w:tcPr>
            <w:tcW w:w="7839" w:type="dxa"/>
            <w:gridSpan w:val="6"/>
            <w:vAlign w:val="center"/>
          </w:tcPr>
          <w:p w14:paraId="699F79A9" w14:textId="77777777" w:rsidR="00ED5D29" w:rsidRPr="009B381E" w:rsidRDefault="00ED5D29" w:rsidP="00312FF3">
            <w:pPr>
              <w:spacing w:line="276" w:lineRule="auto"/>
            </w:pPr>
            <w:r w:rsidRPr="009B381E">
              <w:rPr>
                <w:noProof/>
              </w:rPr>
              <w:t>Proiectul de act normativ nu se referă la acest subiect.</w:t>
            </w:r>
          </w:p>
        </w:tc>
      </w:tr>
      <w:tr w:rsidR="00520BE3" w:rsidRPr="009B381E" w14:paraId="675CE50B" w14:textId="77777777" w:rsidTr="00312FF3">
        <w:tc>
          <w:tcPr>
            <w:tcW w:w="2401" w:type="dxa"/>
          </w:tcPr>
          <w:p w14:paraId="182C7B6E" w14:textId="77777777" w:rsidR="00ED5D29" w:rsidRPr="009B381E" w:rsidRDefault="00ED5D29" w:rsidP="00A70147">
            <w:pPr>
              <w:jc w:val="both"/>
            </w:pPr>
            <w:r w:rsidRPr="009B381E">
              <w:t xml:space="preserve">4. Propuneri pentru </w:t>
            </w:r>
          </w:p>
          <w:p w14:paraId="7D87FB0E" w14:textId="77777777" w:rsidR="00ED5D29" w:rsidRPr="009B381E" w:rsidRDefault="00ED5D29" w:rsidP="00A70147">
            <w:pPr>
              <w:jc w:val="both"/>
            </w:pPr>
            <w:r w:rsidRPr="009B381E">
              <w:t>acoperirea creşterilor de cheltuieli</w:t>
            </w:r>
          </w:p>
        </w:tc>
        <w:tc>
          <w:tcPr>
            <w:tcW w:w="7839" w:type="dxa"/>
            <w:gridSpan w:val="6"/>
            <w:vAlign w:val="center"/>
          </w:tcPr>
          <w:p w14:paraId="64B74EF4" w14:textId="77777777" w:rsidR="00ED5D29" w:rsidRPr="009B381E" w:rsidRDefault="00ED5D29" w:rsidP="00312FF3">
            <w:pPr>
              <w:spacing w:line="276" w:lineRule="auto"/>
              <w:rPr>
                <w:noProof/>
              </w:rPr>
            </w:pPr>
            <w:r w:rsidRPr="009B381E">
              <w:rPr>
                <w:noProof/>
              </w:rPr>
              <w:t>Proiectul de act normativ nu se referă la acest subiect.</w:t>
            </w:r>
          </w:p>
        </w:tc>
      </w:tr>
      <w:tr w:rsidR="00520BE3" w:rsidRPr="009B381E" w14:paraId="0436F908" w14:textId="77777777" w:rsidTr="00312FF3">
        <w:tc>
          <w:tcPr>
            <w:tcW w:w="2401" w:type="dxa"/>
          </w:tcPr>
          <w:p w14:paraId="71CBC13E" w14:textId="77777777" w:rsidR="00ED5D29" w:rsidRPr="009B381E" w:rsidRDefault="00ED5D29" w:rsidP="00A70147">
            <w:pPr>
              <w:jc w:val="both"/>
            </w:pPr>
            <w:r w:rsidRPr="009B381E">
              <w:t>5. Propuneri pentru acoperirea scăderilor  de venituri</w:t>
            </w:r>
          </w:p>
        </w:tc>
        <w:tc>
          <w:tcPr>
            <w:tcW w:w="7839" w:type="dxa"/>
            <w:gridSpan w:val="6"/>
            <w:vAlign w:val="center"/>
          </w:tcPr>
          <w:p w14:paraId="30C15718" w14:textId="77777777" w:rsidR="00ED5D29" w:rsidRPr="009B381E" w:rsidRDefault="00ED5D29" w:rsidP="00312FF3">
            <w:pPr>
              <w:spacing w:line="276" w:lineRule="auto"/>
              <w:rPr>
                <w:noProof/>
              </w:rPr>
            </w:pPr>
            <w:r w:rsidRPr="009B381E">
              <w:rPr>
                <w:noProof/>
              </w:rPr>
              <w:t>Proiectul de act normativ nu se referă la acest subiect.</w:t>
            </w:r>
          </w:p>
        </w:tc>
      </w:tr>
      <w:tr w:rsidR="00520BE3" w:rsidRPr="009B381E" w14:paraId="47075FD6" w14:textId="77777777" w:rsidTr="00312FF3">
        <w:tc>
          <w:tcPr>
            <w:tcW w:w="2401" w:type="dxa"/>
          </w:tcPr>
          <w:p w14:paraId="4BFC5C0E" w14:textId="59AD6F11" w:rsidR="0025682E" w:rsidRPr="009B381E" w:rsidRDefault="00ED5D29" w:rsidP="00A70147">
            <w:pPr>
              <w:jc w:val="both"/>
            </w:pPr>
            <w:r w:rsidRPr="009B381E">
              <w:t>6. Calcule detaliate privind fundamentarea modificărilor  veniturilor şi/sau cheltuielilor bugetare</w:t>
            </w:r>
          </w:p>
        </w:tc>
        <w:tc>
          <w:tcPr>
            <w:tcW w:w="7839" w:type="dxa"/>
            <w:gridSpan w:val="6"/>
            <w:vAlign w:val="center"/>
          </w:tcPr>
          <w:p w14:paraId="2B646F1C" w14:textId="77777777" w:rsidR="00ED5D29" w:rsidRPr="009B381E" w:rsidRDefault="00ED5D29" w:rsidP="00312FF3">
            <w:pPr>
              <w:spacing w:line="276" w:lineRule="auto"/>
              <w:rPr>
                <w:noProof/>
              </w:rPr>
            </w:pPr>
            <w:r w:rsidRPr="009B381E">
              <w:rPr>
                <w:noProof/>
              </w:rPr>
              <w:t>Proiectul de act normativ nu se referă la acest subiect.</w:t>
            </w:r>
          </w:p>
        </w:tc>
      </w:tr>
      <w:tr w:rsidR="00520BE3" w:rsidRPr="009B381E" w14:paraId="134CE0E5" w14:textId="77777777" w:rsidTr="00312FF3">
        <w:tc>
          <w:tcPr>
            <w:tcW w:w="2401" w:type="dxa"/>
          </w:tcPr>
          <w:p w14:paraId="00F46658" w14:textId="77777777" w:rsidR="00ED5D29" w:rsidRPr="009B381E" w:rsidRDefault="00ED5D29" w:rsidP="00A70147">
            <w:pPr>
              <w:jc w:val="both"/>
            </w:pPr>
            <w:r w:rsidRPr="009B381E">
              <w:t>7. Alte informaţii</w:t>
            </w:r>
          </w:p>
        </w:tc>
        <w:tc>
          <w:tcPr>
            <w:tcW w:w="7839" w:type="dxa"/>
            <w:gridSpan w:val="6"/>
          </w:tcPr>
          <w:p w14:paraId="3B06EA07" w14:textId="26282699" w:rsidR="0013619D" w:rsidRPr="009B381E" w:rsidRDefault="00F941F9" w:rsidP="00095300">
            <w:pPr>
              <w:spacing w:before="120" w:after="120" w:line="276" w:lineRule="auto"/>
              <w:jc w:val="both"/>
            </w:pPr>
            <w:r w:rsidRPr="009B381E">
              <w:t>Nu au fost identificate.</w:t>
            </w:r>
          </w:p>
        </w:tc>
      </w:tr>
    </w:tbl>
    <w:p w14:paraId="2F7ACEA9" w14:textId="244FFF1C" w:rsidR="003864F6" w:rsidRPr="009B381E" w:rsidRDefault="00670C79" w:rsidP="00312FF3">
      <w:pPr>
        <w:spacing w:line="276" w:lineRule="auto"/>
        <w:jc w:val="both"/>
        <w:rPr>
          <w:b/>
        </w:rPr>
      </w:pPr>
      <w:r w:rsidRPr="009B381E">
        <w:rPr>
          <w:b/>
        </w:rPr>
        <w:t xml:space="preserve">   </w:t>
      </w:r>
    </w:p>
    <w:p w14:paraId="7E1BCAF6" w14:textId="7C119B3A" w:rsidR="00670C79" w:rsidRPr="009B381E" w:rsidRDefault="00DB715E" w:rsidP="00312FF3">
      <w:pPr>
        <w:spacing w:line="276" w:lineRule="auto"/>
        <w:jc w:val="both"/>
        <w:rPr>
          <w:b/>
        </w:rPr>
      </w:pPr>
      <w:r w:rsidRPr="009B381E">
        <w:rPr>
          <w:b/>
        </w:rPr>
        <w:t xml:space="preserve">  </w:t>
      </w:r>
      <w:r w:rsidR="00AA6FD4" w:rsidRPr="009B381E">
        <w:rPr>
          <w:b/>
        </w:rPr>
        <w:t xml:space="preserve">  </w:t>
      </w:r>
      <w:r w:rsidR="007C16BF" w:rsidRPr="009B381E">
        <w:rPr>
          <w:b/>
        </w:rPr>
        <w:t xml:space="preserve"> </w:t>
      </w:r>
      <w:r w:rsidR="00AA6FD4" w:rsidRPr="009B381E">
        <w:rPr>
          <w:b/>
        </w:rPr>
        <w:t xml:space="preserve">  </w:t>
      </w:r>
      <w:r w:rsidR="00670C79" w:rsidRPr="009B381E">
        <w:rPr>
          <w:b/>
        </w:rPr>
        <w:t>Secţiunea a 5-a - Efectele proiectului de act normativ asupra legislaţiei în vigoare</w:t>
      </w:r>
    </w:p>
    <w:p w14:paraId="1EA60D82" w14:textId="77777777" w:rsidR="007C16BF" w:rsidRPr="009B381E" w:rsidRDefault="007C16BF" w:rsidP="00312FF3">
      <w:pPr>
        <w:spacing w:line="276" w:lineRule="auto"/>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5210"/>
      </w:tblGrid>
      <w:tr w:rsidR="00520BE3" w:rsidRPr="009B381E" w14:paraId="327176B4" w14:textId="77777777" w:rsidTr="00527866">
        <w:trPr>
          <w:trHeight w:val="561"/>
        </w:trPr>
        <w:tc>
          <w:tcPr>
            <w:tcW w:w="5040" w:type="dxa"/>
          </w:tcPr>
          <w:p w14:paraId="0B464A83" w14:textId="77777777" w:rsidR="00670C79" w:rsidRPr="009B381E" w:rsidRDefault="00670C79" w:rsidP="00A70147">
            <w:pPr>
              <w:jc w:val="both"/>
            </w:pPr>
            <w:r w:rsidRPr="009B381E">
              <w:t>1.Măsuri normative necesare pentru aplicarea prevederilor proiectului de act normativ:</w:t>
            </w:r>
          </w:p>
          <w:p w14:paraId="22A542E8" w14:textId="77777777" w:rsidR="00670C79" w:rsidRPr="009B381E" w:rsidRDefault="00670C79" w:rsidP="00A70147">
            <w:pPr>
              <w:jc w:val="both"/>
            </w:pPr>
            <w:r w:rsidRPr="009B381E">
              <w:t>a) acte normative în vigoare ce vor fi modificate sau abrogate, ca urmare a intrării în vigoare a proiectului de act normativ;</w:t>
            </w:r>
          </w:p>
          <w:p w14:paraId="7D58B0F1" w14:textId="2312F39B" w:rsidR="00670C79" w:rsidRPr="009B381E" w:rsidRDefault="00670C79" w:rsidP="00A70147">
            <w:pPr>
              <w:jc w:val="both"/>
            </w:pPr>
            <w:r w:rsidRPr="009B381E">
              <w:t>b) acte normative ce urmează a fi elaborate în vederea implementării noilor dispoziţii.</w:t>
            </w:r>
          </w:p>
        </w:tc>
        <w:tc>
          <w:tcPr>
            <w:tcW w:w="5220" w:type="dxa"/>
          </w:tcPr>
          <w:p w14:paraId="7C430706" w14:textId="65ADFBEB" w:rsidR="004D210B" w:rsidRPr="009B381E" w:rsidRDefault="006D37D0" w:rsidP="00312FF3">
            <w:pPr>
              <w:pStyle w:val="ListParagraph"/>
              <w:tabs>
                <w:tab w:val="left" w:pos="201"/>
              </w:tabs>
              <w:spacing w:line="276" w:lineRule="auto"/>
              <w:ind w:left="59"/>
              <w:jc w:val="both"/>
              <w:rPr>
                <w:rFonts w:ascii="Times New Roman" w:hAnsi="Times New Roman" w:cs="Times New Roman"/>
              </w:rPr>
            </w:pPr>
            <w:r w:rsidRPr="009B381E">
              <w:rPr>
                <w:rFonts w:ascii="Times New Roman" w:hAnsi="Times New Roman" w:cs="Times New Roman"/>
              </w:rPr>
              <w:t>Proiectul de act normativ nu se referă la acest subiect.</w:t>
            </w:r>
          </w:p>
        </w:tc>
      </w:tr>
      <w:tr w:rsidR="00520BE3" w:rsidRPr="009B381E" w14:paraId="457614B1" w14:textId="77777777" w:rsidTr="006A5A1B">
        <w:trPr>
          <w:trHeight w:val="636"/>
        </w:trPr>
        <w:tc>
          <w:tcPr>
            <w:tcW w:w="5040" w:type="dxa"/>
          </w:tcPr>
          <w:p w14:paraId="45E3A53E" w14:textId="25E64E27" w:rsidR="00670C79" w:rsidRPr="009B381E" w:rsidRDefault="00670C79" w:rsidP="00A70147">
            <w:pPr>
              <w:pStyle w:val="HTMLPreformatted"/>
              <w:shd w:val="clear" w:color="auto" w:fill="FFFFFF"/>
              <w:jc w:val="both"/>
              <w:rPr>
                <w:rFonts w:ascii="Times New Roman" w:hAnsi="Times New Roman" w:cs="Times New Roman"/>
                <w:sz w:val="24"/>
                <w:szCs w:val="24"/>
              </w:rPr>
            </w:pPr>
            <w:r w:rsidRPr="009B381E">
              <w:rPr>
                <w:rFonts w:ascii="Times New Roman" w:hAnsi="Times New Roman" w:cs="Times New Roman"/>
                <w:sz w:val="24"/>
                <w:szCs w:val="24"/>
              </w:rPr>
              <w:t>1</w:t>
            </w:r>
            <w:r w:rsidRPr="002A41C3">
              <w:rPr>
                <w:rFonts w:ascii="Times New Roman" w:hAnsi="Times New Roman" w:cs="Times New Roman"/>
                <w:sz w:val="24"/>
                <w:szCs w:val="24"/>
                <w:vertAlign w:val="superscript"/>
              </w:rPr>
              <w:t>1</w:t>
            </w:r>
            <w:r w:rsidRPr="009B381E">
              <w:rPr>
                <w:rFonts w:ascii="Times New Roman" w:hAnsi="Times New Roman" w:cs="Times New Roman"/>
                <w:sz w:val="24"/>
                <w:szCs w:val="24"/>
              </w:rPr>
              <w:t>. Compatibilitatea proiectului de act normativ cu legislaţia în domeniul achiziţiilor publice</w:t>
            </w:r>
          </w:p>
        </w:tc>
        <w:tc>
          <w:tcPr>
            <w:tcW w:w="5220" w:type="dxa"/>
          </w:tcPr>
          <w:p w14:paraId="49470ACC" w14:textId="77777777" w:rsidR="00670C79" w:rsidRPr="009B381E" w:rsidRDefault="00670C79" w:rsidP="00312FF3">
            <w:pPr>
              <w:spacing w:line="276" w:lineRule="auto"/>
              <w:jc w:val="both"/>
            </w:pPr>
            <w:r w:rsidRPr="009B381E">
              <w:t>Proiectul de act normativ nu se referă la acest subiect.</w:t>
            </w:r>
          </w:p>
        </w:tc>
      </w:tr>
      <w:tr w:rsidR="00520BE3" w:rsidRPr="009B381E" w14:paraId="787E8B98" w14:textId="77777777" w:rsidTr="006A5A1B">
        <w:tc>
          <w:tcPr>
            <w:tcW w:w="5040" w:type="dxa"/>
          </w:tcPr>
          <w:p w14:paraId="5E04A94F" w14:textId="77777777" w:rsidR="00670C79" w:rsidRPr="009B381E" w:rsidRDefault="00670C79" w:rsidP="00A70147">
            <w:pPr>
              <w:jc w:val="both"/>
            </w:pPr>
            <w:r w:rsidRPr="009B381E">
              <w:t>2. Conformitatea  proiectului de act normativ cu legislaţia comunitară în cazul proiectelor ce transpun prevederi comunitare</w:t>
            </w:r>
          </w:p>
        </w:tc>
        <w:tc>
          <w:tcPr>
            <w:tcW w:w="5220" w:type="dxa"/>
            <w:vAlign w:val="center"/>
          </w:tcPr>
          <w:p w14:paraId="73E021D3" w14:textId="77777777" w:rsidR="00670C79" w:rsidRPr="009B381E" w:rsidRDefault="00670C79" w:rsidP="00312FF3">
            <w:pPr>
              <w:spacing w:line="276" w:lineRule="auto"/>
              <w:jc w:val="both"/>
            </w:pPr>
            <w:r w:rsidRPr="009B381E">
              <w:t>Proiectul de act normativ nu se referă la acest subiect.</w:t>
            </w:r>
          </w:p>
        </w:tc>
      </w:tr>
      <w:tr w:rsidR="009F22AF" w:rsidRPr="009B381E" w14:paraId="344D3A2E" w14:textId="77777777" w:rsidTr="006A5A1B">
        <w:tc>
          <w:tcPr>
            <w:tcW w:w="5040" w:type="dxa"/>
          </w:tcPr>
          <w:p w14:paraId="1C80FA7B" w14:textId="2D293DAB" w:rsidR="009F22AF" w:rsidRPr="009B381E" w:rsidRDefault="009F22AF" w:rsidP="00A70147">
            <w:pPr>
              <w:jc w:val="both"/>
            </w:pPr>
            <w:r w:rsidRPr="009B381E">
              <w:t>3. Măsuri normative necesare aplicării directe a actelor normative comunitare europene</w:t>
            </w:r>
          </w:p>
        </w:tc>
        <w:tc>
          <w:tcPr>
            <w:tcW w:w="5220" w:type="dxa"/>
            <w:vAlign w:val="center"/>
          </w:tcPr>
          <w:p w14:paraId="1B15F463" w14:textId="5410CE60" w:rsidR="009F22AF" w:rsidRPr="009B381E" w:rsidRDefault="009F22AF" w:rsidP="00312FF3">
            <w:pPr>
              <w:spacing w:line="276" w:lineRule="auto"/>
              <w:jc w:val="both"/>
            </w:pPr>
            <w:r w:rsidRPr="009B381E">
              <w:t xml:space="preserve">Proiectul de act normativ </w:t>
            </w:r>
            <w:r w:rsidR="00BA328B">
              <w:t xml:space="preserve">este necesar în vederea aplicării </w:t>
            </w:r>
            <w:r w:rsidR="00BA328B" w:rsidRPr="00BA328B">
              <w:t>Regulamentul</w:t>
            </w:r>
            <w:r w:rsidR="00BA328B">
              <w:t>ui</w:t>
            </w:r>
            <w:r w:rsidR="00BA328B" w:rsidRPr="00BA328B">
              <w:t xml:space="preserve"> (UE) 2021/1060 al Parlamentului European și al Consiliului din 24 </w:t>
            </w:r>
            <w:r w:rsidR="00BA328B" w:rsidRPr="00BA328B">
              <w:lastRenderedPageBreak/>
              <w:t>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tc>
      </w:tr>
      <w:tr w:rsidR="00520BE3" w:rsidRPr="009B381E" w14:paraId="64CA1687" w14:textId="77777777" w:rsidTr="006A5A1B">
        <w:tc>
          <w:tcPr>
            <w:tcW w:w="5040" w:type="dxa"/>
          </w:tcPr>
          <w:p w14:paraId="29BE2E72" w14:textId="77777777" w:rsidR="00670C79" w:rsidRPr="009B381E" w:rsidRDefault="00670C79" w:rsidP="00A70147">
            <w:pPr>
              <w:jc w:val="both"/>
            </w:pPr>
            <w:r w:rsidRPr="009B381E">
              <w:lastRenderedPageBreak/>
              <w:t>4. Hotărâri ale Curţii de Justiţie a Uniunii Europene</w:t>
            </w:r>
          </w:p>
        </w:tc>
        <w:tc>
          <w:tcPr>
            <w:tcW w:w="5220" w:type="dxa"/>
            <w:vAlign w:val="center"/>
          </w:tcPr>
          <w:p w14:paraId="0008985F" w14:textId="77777777" w:rsidR="00670C79" w:rsidRPr="009B381E" w:rsidRDefault="00670C79" w:rsidP="00312FF3">
            <w:pPr>
              <w:spacing w:line="276" w:lineRule="auto"/>
              <w:jc w:val="both"/>
            </w:pPr>
            <w:r w:rsidRPr="009B381E">
              <w:t>Proiectul de act normativ nu se referă la acest subiect.</w:t>
            </w:r>
          </w:p>
        </w:tc>
      </w:tr>
      <w:tr w:rsidR="00520BE3" w:rsidRPr="009B381E" w14:paraId="107AD4C3" w14:textId="77777777" w:rsidTr="006A5A1B">
        <w:tc>
          <w:tcPr>
            <w:tcW w:w="5040" w:type="dxa"/>
          </w:tcPr>
          <w:p w14:paraId="37CF24B8" w14:textId="77777777" w:rsidR="00670C79" w:rsidRPr="009B381E" w:rsidRDefault="00670C79" w:rsidP="00A70147">
            <w:pPr>
              <w:jc w:val="both"/>
            </w:pPr>
            <w:r w:rsidRPr="009B381E">
              <w:t>5. Alte acte normative şi/sau documente internaţionale din care decurg angajamente</w:t>
            </w:r>
          </w:p>
        </w:tc>
        <w:tc>
          <w:tcPr>
            <w:tcW w:w="5220" w:type="dxa"/>
            <w:vAlign w:val="center"/>
          </w:tcPr>
          <w:p w14:paraId="20C068A2" w14:textId="77777777" w:rsidR="00670C79" w:rsidRPr="009B381E" w:rsidRDefault="00670C79" w:rsidP="00312FF3">
            <w:pPr>
              <w:spacing w:line="276" w:lineRule="auto"/>
              <w:jc w:val="both"/>
            </w:pPr>
            <w:r w:rsidRPr="009B381E">
              <w:t>Proiectul de act normativ nu se referă la acest subiect.</w:t>
            </w:r>
          </w:p>
        </w:tc>
      </w:tr>
      <w:tr w:rsidR="00670C79" w:rsidRPr="009B381E" w14:paraId="56F5B91F" w14:textId="77777777" w:rsidTr="006A5A1B">
        <w:tc>
          <w:tcPr>
            <w:tcW w:w="5040" w:type="dxa"/>
          </w:tcPr>
          <w:p w14:paraId="5341025F" w14:textId="77777777" w:rsidR="00670C79" w:rsidRPr="009B381E" w:rsidRDefault="00670C79" w:rsidP="00A70147">
            <w:pPr>
              <w:jc w:val="both"/>
            </w:pPr>
            <w:r w:rsidRPr="009B381E">
              <w:t>6.Alte informaţii</w:t>
            </w:r>
          </w:p>
        </w:tc>
        <w:tc>
          <w:tcPr>
            <w:tcW w:w="5220" w:type="dxa"/>
            <w:vAlign w:val="center"/>
          </w:tcPr>
          <w:p w14:paraId="0004E5EF" w14:textId="77777777" w:rsidR="00670C79" w:rsidRPr="009B381E" w:rsidRDefault="00670C79" w:rsidP="00312FF3">
            <w:pPr>
              <w:spacing w:line="276" w:lineRule="auto"/>
              <w:jc w:val="both"/>
            </w:pPr>
            <w:r w:rsidRPr="009B381E">
              <w:t>Nu au fost identificate.</w:t>
            </w:r>
          </w:p>
        </w:tc>
      </w:tr>
    </w:tbl>
    <w:p w14:paraId="7203B83A" w14:textId="77777777" w:rsidR="00DB715E" w:rsidRPr="009B381E" w:rsidRDefault="00DB715E" w:rsidP="00312FF3">
      <w:pPr>
        <w:spacing w:line="276" w:lineRule="auto"/>
        <w:rPr>
          <w:b/>
        </w:rPr>
      </w:pPr>
      <w:r w:rsidRPr="009B381E">
        <w:rPr>
          <w:b/>
        </w:rPr>
        <w:t xml:space="preserve">   </w:t>
      </w:r>
    </w:p>
    <w:p w14:paraId="4113E59E" w14:textId="04D0208C" w:rsidR="00670C79" w:rsidRPr="009B381E" w:rsidRDefault="00DB715E" w:rsidP="00312FF3">
      <w:pPr>
        <w:spacing w:line="276" w:lineRule="auto"/>
        <w:rPr>
          <w:b/>
        </w:rPr>
      </w:pPr>
      <w:r w:rsidRPr="009B381E">
        <w:rPr>
          <w:b/>
        </w:rPr>
        <w:t xml:space="preserve">  </w:t>
      </w:r>
      <w:r w:rsidR="00AA6FD4" w:rsidRPr="009B381E">
        <w:rPr>
          <w:b/>
        </w:rPr>
        <w:t xml:space="preserve"> </w:t>
      </w:r>
      <w:r w:rsidRPr="009B381E">
        <w:rPr>
          <w:b/>
        </w:rPr>
        <w:t xml:space="preserve"> </w:t>
      </w:r>
      <w:r w:rsidR="00AA6FD4" w:rsidRPr="009B381E">
        <w:rPr>
          <w:b/>
        </w:rPr>
        <w:t xml:space="preserve">   </w:t>
      </w:r>
      <w:r w:rsidR="007C16BF" w:rsidRPr="009B381E">
        <w:rPr>
          <w:b/>
        </w:rPr>
        <w:t xml:space="preserve"> </w:t>
      </w:r>
      <w:r w:rsidR="00670C79" w:rsidRPr="009B381E">
        <w:rPr>
          <w:b/>
        </w:rPr>
        <w:t>6. Consultările efectuate în vederea elaborării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209"/>
      </w:tblGrid>
      <w:tr w:rsidR="00520BE3" w:rsidRPr="009B381E" w14:paraId="65D4A307" w14:textId="77777777" w:rsidTr="009E63F1">
        <w:tc>
          <w:tcPr>
            <w:tcW w:w="5031" w:type="dxa"/>
          </w:tcPr>
          <w:p w14:paraId="335CB085" w14:textId="77777777" w:rsidR="00670C79" w:rsidRPr="009B381E" w:rsidRDefault="00670C79" w:rsidP="00A70147">
            <w:pPr>
              <w:jc w:val="both"/>
            </w:pPr>
            <w:r w:rsidRPr="009B381E">
              <w:t>1.Informaţii privind procesul de consultare cu organizaţii neguvernamentale, instituite de cercetare şi alte organisme implicate</w:t>
            </w:r>
          </w:p>
        </w:tc>
        <w:tc>
          <w:tcPr>
            <w:tcW w:w="5209" w:type="dxa"/>
          </w:tcPr>
          <w:p w14:paraId="05ECBB28" w14:textId="3AFFBCD4" w:rsidR="00670C79" w:rsidRPr="009B381E" w:rsidRDefault="00670C79" w:rsidP="00A70147">
            <w:pPr>
              <w:jc w:val="both"/>
            </w:pPr>
            <w:r w:rsidRPr="009B381E">
              <w:t xml:space="preserve"> </w:t>
            </w:r>
            <w:r w:rsidR="003E080A" w:rsidRPr="009B381E">
              <w:t>Proiectul de act normativ nu se referă la acest subiect.</w:t>
            </w:r>
          </w:p>
        </w:tc>
      </w:tr>
      <w:tr w:rsidR="00520BE3" w:rsidRPr="009B381E" w14:paraId="16D0661E" w14:textId="77777777" w:rsidTr="009E63F1">
        <w:tc>
          <w:tcPr>
            <w:tcW w:w="5031" w:type="dxa"/>
          </w:tcPr>
          <w:p w14:paraId="297F37E9" w14:textId="77777777" w:rsidR="00670C79" w:rsidRPr="009B381E" w:rsidRDefault="00670C79" w:rsidP="00A70147">
            <w:pPr>
              <w:jc w:val="both"/>
            </w:pPr>
            <w:r w:rsidRPr="009B381E">
              <w:t>2.Fundamentarea alegerii organizaţiilor cu care a avut loc consultarea, precum şi a modului în care activitatea acestor organizaţii este legată de obiectivul proiectului de act normativ</w:t>
            </w:r>
          </w:p>
        </w:tc>
        <w:tc>
          <w:tcPr>
            <w:tcW w:w="5209" w:type="dxa"/>
            <w:vAlign w:val="center"/>
          </w:tcPr>
          <w:p w14:paraId="10909C7F" w14:textId="77777777" w:rsidR="00670C79" w:rsidRPr="009B381E" w:rsidRDefault="00670C79" w:rsidP="00A70147">
            <w:pPr>
              <w:jc w:val="both"/>
            </w:pPr>
            <w:r w:rsidRPr="009B381E">
              <w:t>Proiectul de act normativ nu se referă la acest subiect.</w:t>
            </w:r>
          </w:p>
        </w:tc>
      </w:tr>
      <w:tr w:rsidR="00520BE3" w:rsidRPr="009B381E" w14:paraId="19A2A59D" w14:textId="77777777" w:rsidTr="009E63F1">
        <w:tc>
          <w:tcPr>
            <w:tcW w:w="5031" w:type="dxa"/>
          </w:tcPr>
          <w:p w14:paraId="53EA464B" w14:textId="77777777" w:rsidR="00670C79" w:rsidRPr="009B381E" w:rsidRDefault="00670C79" w:rsidP="00A70147">
            <w:pPr>
              <w:jc w:val="both"/>
            </w:pPr>
            <w:r w:rsidRPr="009B381E">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209" w:type="dxa"/>
            <w:vAlign w:val="center"/>
          </w:tcPr>
          <w:p w14:paraId="5D978A54" w14:textId="134DC75D" w:rsidR="00670C79" w:rsidRPr="009B381E" w:rsidRDefault="004D210B" w:rsidP="00A70147">
            <w:pPr>
              <w:jc w:val="both"/>
            </w:pPr>
            <w:r w:rsidRPr="009B381E">
              <w:t xml:space="preserve"> A fost realizată procedura de consultare în conformitate cu prevederile Ordonanței de urgență a Guvernului nr. 57/2019 privind Codul administrativ, cu completările ulterioare, precum și ale Hotărârii Guvernului nr. 521/2005 privind procedura de consultare a structurilor asociative ale autorităţilor administraţiei publice locale la elaborarea proiectelor de acte normative.</w:t>
            </w:r>
          </w:p>
        </w:tc>
      </w:tr>
      <w:tr w:rsidR="00520BE3" w:rsidRPr="009B381E" w14:paraId="0D4EB37E" w14:textId="77777777" w:rsidTr="009E63F1">
        <w:tc>
          <w:tcPr>
            <w:tcW w:w="5031" w:type="dxa"/>
          </w:tcPr>
          <w:p w14:paraId="0FB83D7F" w14:textId="77777777" w:rsidR="00670C79" w:rsidRPr="009B381E" w:rsidRDefault="00670C79" w:rsidP="00A70147">
            <w:pPr>
              <w:jc w:val="both"/>
            </w:pPr>
            <w:r w:rsidRPr="009B381E">
              <w:t>4.Consultările desfăşurate în cadrul consiliilor interministeriale, în conformitate cu prevederile Hotărârii Guvernului nr. 750/2005 privind constituirea consiliilor interministeriale permanente</w:t>
            </w:r>
          </w:p>
        </w:tc>
        <w:tc>
          <w:tcPr>
            <w:tcW w:w="5209" w:type="dxa"/>
            <w:vAlign w:val="center"/>
          </w:tcPr>
          <w:p w14:paraId="2A1BF33A" w14:textId="77777777" w:rsidR="00670C79" w:rsidRPr="009B381E" w:rsidRDefault="00670C79" w:rsidP="00A70147">
            <w:pPr>
              <w:jc w:val="both"/>
            </w:pPr>
            <w:r w:rsidRPr="009B381E">
              <w:t>Proiectul de act normativ nu se referă la acest subiect.</w:t>
            </w:r>
          </w:p>
        </w:tc>
      </w:tr>
      <w:tr w:rsidR="00520BE3" w:rsidRPr="009B381E" w14:paraId="5B65EE0A" w14:textId="77777777" w:rsidTr="009E63F1">
        <w:tc>
          <w:tcPr>
            <w:tcW w:w="5031" w:type="dxa"/>
          </w:tcPr>
          <w:p w14:paraId="1F489DD3" w14:textId="77777777" w:rsidR="00670C79" w:rsidRPr="009B381E" w:rsidRDefault="00670C79" w:rsidP="00A70147">
            <w:r w:rsidRPr="009B381E">
              <w:t>5.Informaţii privind avizarea de către:</w:t>
            </w:r>
          </w:p>
          <w:p w14:paraId="3FDB7235" w14:textId="77777777" w:rsidR="00670C79" w:rsidRPr="009B381E" w:rsidRDefault="00670C79" w:rsidP="00A70147">
            <w:r w:rsidRPr="009B381E">
              <w:t>a) Consiliul legislativ</w:t>
            </w:r>
          </w:p>
          <w:p w14:paraId="60B92AD3" w14:textId="77777777" w:rsidR="00670C79" w:rsidRPr="009B381E" w:rsidRDefault="00670C79" w:rsidP="00A70147">
            <w:r w:rsidRPr="009B381E">
              <w:t>b)Consiliul Suprem de Apărare a Ţării</w:t>
            </w:r>
          </w:p>
          <w:p w14:paraId="3AACDD1C" w14:textId="77777777" w:rsidR="00670C79" w:rsidRPr="009B381E" w:rsidRDefault="00670C79" w:rsidP="00A70147">
            <w:r w:rsidRPr="009B381E">
              <w:t>c)Consiliul Economic şi Social</w:t>
            </w:r>
          </w:p>
          <w:p w14:paraId="14AB49B3" w14:textId="77777777" w:rsidR="00670C79" w:rsidRPr="009B381E" w:rsidRDefault="00670C79" w:rsidP="00A70147">
            <w:r w:rsidRPr="009B381E">
              <w:t xml:space="preserve">d)Consiliul Concurenţei </w:t>
            </w:r>
          </w:p>
          <w:p w14:paraId="0A37194B" w14:textId="77777777" w:rsidR="00670C79" w:rsidRPr="009B381E" w:rsidRDefault="00670C79" w:rsidP="00A70147">
            <w:r w:rsidRPr="009B381E">
              <w:t>e)Curtea de Conturi</w:t>
            </w:r>
          </w:p>
        </w:tc>
        <w:tc>
          <w:tcPr>
            <w:tcW w:w="5209" w:type="dxa"/>
            <w:vAlign w:val="center"/>
          </w:tcPr>
          <w:p w14:paraId="7ED20DBC" w14:textId="32F66A98" w:rsidR="00670C79" w:rsidRPr="009B381E" w:rsidRDefault="004B13DF" w:rsidP="00A70147">
            <w:pPr>
              <w:jc w:val="both"/>
            </w:pPr>
            <w:r w:rsidRPr="009B381E">
              <w:t>Prezentul proiect de act normativ este supus avizării Consiliului Legislativ</w:t>
            </w:r>
            <w:r w:rsidR="004D210B" w:rsidRPr="009B381E">
              <w:t xml:space="preserve"> și s-a solicitat punctul de vedere al</w:t>
            </w:r>
            <w:r w:rsidR="00EE79AE" w:rsidRPr="009B381E">
              <w:t xml:space="preserve"> </w:t>
            </w:r>
            <w:r w:rsidR="00402A15">
              <w:t xml:space="preserve">Consiliului Concurenței, </w:t>
            </w:r>
            <w:r w:rsidRPr="009B381E">
              <w:t>Cur</w:t>
            </w:r>
            <w:r w:rsidR="004D210B" w:rsidRPr="009B381E">
              <w:t>ții</w:t>
            </w:r>
            <w:r w:rsidRPr="009B381E">
              <w:t xml:space="preserve"> de Conturi</w:t>
            </w:r>
            <w:r w:rsidR="004C0503" w:rsidRPr="009B381E">
              <w:t xml:space="preserve"> și </w:t>
            </w:r>
            <w:r w:rsidR="00EE79AE" w:rsidRPr="009B381E">
              <w:t>al</w:t>
            </w:r>
            <w:r w:rsidRPr="009B381E">
              <w:t xml:space="preserve"> Autorit</w:t>
            </w:r>
            <w:r w:rsidR="00EE79AE" w:rsidRPr="009B381E">
              <w:t>ății</w:t>
            </w:r>
            <w:r w:rsidRPr="009B381E">
              <w:t xml:space="preserve"> de Audit din cadrul Curții de Conturi a României</w:t>
            </w:r>
            <w:r w:rsidR="004C0503" w:rsidRPr="009B381E">
              <w:t>.</w:t>
            </w:r>
          </w:p>
        </w:tc>
      </w:tr>
      <w:tr w:rsidR="006449AD" w:rsidRPr="009B381E" w14:paraId="4938D81B" w14:textId="77777777" w:rsidTr="009E63F1">
        <w:tc>
          <w:tcPr>
            <w:tcW w:w="5031" w:type="dxa"/>
          </w:tcPr>
          <w:p w14:paraId="7069E280" w14:textId="77777777" w:rsidR="00670C79" w:rsidRPr="009B381E" w:rsidRDefault="00670C79" w:rsidP="00A70147">
            <w:r w:rsidRPr="009B381E">
              <w:t>6.Alte informaţii</w:t>
            </w:r>
          </w:p>
        </w:tc>
        <w:tc>
          <w:tcPr>
            <w:tcW w:w="5209" w:type="dxa"/>
            <w:vAlign w:val="center"/>
          </w:tcPr>
          <w:p w14:paraId="292345C8" w14:textId="77777777" w:rsidR="00670C79" w:rsidRPr="009B381E" w:rsidRDefault="00670C79" w:rsidP="00A70147">
            <w:pPr>
              <w:jc w:val="both"/>
            </w:pPr>
            <w:r w:rsidRPr="009B381E">
              <w:t>Nu au fost identificate.</w:t>
            </w:r>
          </w:p>
        </w:tc>
      </w:tr>
    </w:tbl>
    <w:p w14:paraId="314DAD88" w14:textId="77777777" w:rsidR="00757F29" w:rsidRPr="009B381E" w:rsidRDefault="00757F29" w:rsidP="00312FF3">
      <w:pPr>
        <w:pStyle w:val="BodyTextIndent2"/>
        <w:spacing w:before="0" w:after="0" w:line="276" w:lineRule="auto"/>
        <w:ind w:left="180" w:right="98" w:firstLine="0"/>
        <w:jc w:val="both"/>
        <w:rPr>
          <w:bCs w:val="0"/>
          <w:sz w:val="24"/>
        </w:rPr>
      </w:pPr>
    </w:p>
    <w:p w14:paraId="285A95E2" w14:textId="77777777" w:rsidR="009B23EA" w:rsidRDefault="009B23EA" w:rsidP="00312FF3">
      <w:pPr>
        <w:pStyle w:val="BodyTextIndent2"/>
        <w:spacing w:before="0" w:after="0" w:line="276" w:lineRule="auto"/>
        <w:ind w:left="180" w:right="98" w:firstLine="0"/>
        <w:jc w:val="both"/>
        <w:rPr>
          <w:bCs w:val="0"/>
          <w:sz w:val="24"/>
        </w:rPr>
      </w:pPr>
    </w:p>
    <w:p w14:paraId="24C76478" w14:textId="2C21D0F8" w:rsidR="00670C79" w:rsidRPr="009B381E" w:rsidRDefault="00670C79" w:rsidP="00312FF3">
      <w:pPr>
        <w:pStyle w:val="BodyTextIndent2"/>
        <w:spacing w:before="0" w:after="0" w:line="276" w:lineRule="auto"/>
        <w:ind w:left="180" w:right="98" w:firstLine="0"/>
        <w:jc w:val="both"/>
        <w:rPr>
          <w:bCs w:val="0"/>
          <w:sz w:val="24"/>
        </w:rPr>
      </w:pPr>
      <w:r w:rsidRPr="009B381E">
        <w:rPr>
          <w:bCs w:val="0"/>
          <w:sz w:val="24"/>
        </w:rPr>
        <w:lastRenderedPageBreak/>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6316"/>
      </w:tblGrid>
      <w:tr w:rsidR="00520BE3" w:rsidRPr="009B381E" w14:paraId="732E424B" w14:textId="77777777" w:rsidTr="008E5DAF">
        <w:tc>
          <w:tcPr>
            <w:tcW w:w="3924" w:type="dxa"/>
          </w:tcPr>
          <w:p w14:paraId="10660F36" w14:textId="77777777" w:rsidR="00670C79" w:rsidRPr="009B381E" w:rsidRDefault="00670C79" w:rsidP="00A70147">
            <w:pPr>
              <w:jc w:val="both"/>
            </w:pPr>
            <w:r w:rsidRPr="009B381E">
              <w:t>1.Informarea societăţii civile cu privire la necesitatea elaborării proiectului de act normativ</w:t>
            </w:r>
          </w:p>
        </w:tc>
        <w:tc>
          <w:tcPr>
            <w:tcW w:w="6316" w:type="dxa"/>
          </w:tcPr>
          <w:p w14:paraId="36624643" w14:textId="4C667EC3" w:rsidR="00670C79" w:rsidRPr="009B381E" w:rsidRDefault="006B075E" w:rsidP="00A70147">
            <w:pPr>
              <w:jc w:val="both"/>
            </w:pPr>
            <w:r w:rsidRPr="009B381E">
              <w:t>Prezentul proiect de act normativ respectă prevederile art. 7 alin. (13) din Legea nr. 52/2003 privind transparența decizională în administrația publică, republicată, și a fost publicat în dezbatere publică pe pagina de internet a Ministerului</w:t>
            </w:r>
            <w:r w:rsidR="00D501A1" w:rsidRPr="009B381E">
              <w:t xml:space="preserve"> </w:t>
            </w:r>
            <w:r w:rsidR="00B523ED" w:rsidRPr="009B381E">
              <w:t>Investițiilor și Proiectelor</w:t>
            </w:r>
            <w:r w:rsidR="00D501A1" w:rsidRPr="009B381E">
              <w:t xml:space="preserve"> Europene la data de </w:t>
            </w:r>
            <w:r w:rsidR="004C1338">
              <w:t>06.12.2021</w:t>
            </w:r>
            <w:r w:rsidR="003F7AF4" w:rsidRPr="009B381E">
              <w:t>.</w:t>
            </w:r>
          </w:p>
        </w:tc>
      </w:tr>
      <w:tr w:rsidR="00520BE3" w:rsidRPr="009B381E" w14:paraId="585061CE" w14:textId="77777777" w:rsidTr="008E5DAF">
        <w:tc>
          <w:tcPr>
            <w:tcW w:w="3924" w:type="dxa"/>
          </w:tcPr>
          <w:p w14:paraId="50B21BCD" w14:textId="77777777" w:rsidR="00670C79" w:rsidRPr="009B381E" w:rsidRDefault="00670C79" w:rsidP="00A70147">
            <w:pPr>
              <w:jc w:val="both"/>
            </w:pPr>
            <w:r w:rsidRPr="009B381E">
              <w:t>2.Informarea societăţii civile cu privire la eventualul impact asupra mediului în urma implementării proiectului de act normativ, precum şi efectele asupra sănătăţii şi securităţii cetăţeanului sau diversităţii biologice</w:t>
            </w:r>
          </w:p>
        </w:tc>
        <w:tc>
          <w:tcPr>
            <w:tcW w:w="6316" w:type="dxa"/>
          </w:tcPr>
          <w:p w14:paraId="5BE15852" w14:textId="77777777" w:rsidR="00670C79" w:rsidRPr="009B381E" w:rsidRDefault="00670C79" w:rsidP="00A70147">
            <w:pPr>
              <w:jc w:val="both"/>
            </w:pPr>
          </w:p>
          <w:p w14:paraId="6F061B40" w14:textId="77777777" w:rsidR="00670C79" w:rsidRPr="009B381E" w:rsidRDefault="00670C79" w:rsidP="00A70147">
            <w:pPr>
              <w:jc w:val="both"/>
            </w:pPr>
            <w:r w:rsidRPr="009B381E">
              <w:t>Proiectul de act normativ nu se referă la acest subiect.</w:t>
            </w:r>
          </w:p>
        </w:tc>
      </w:tr>
      <w:tr w:rsidR="00520BE3" w:rsidRPr="009B381E" w14:paraId="6330D92F" w14:textId="77777777" w:rsidTr="008E5DAF">
        <w:tc>
          <w:tcPr>
            <w:tcW w:w="3924" w:type="dxa"/>
          </w:tcPr>
          <w:p w14:paraId="1EC509E8" w14:textId="77777777" w:rsidR="00670C79" w:rsidRPr="009B381E" w:rsidRDefault="00670C79" w:rsidP="00A70147">
            <w:r w:rsidRPr="009B381E">
              <w:t>3. Alte informaţii</w:t>
            </w:r>
          </w:p>
        </w:tc>
        <w:tc>
          <w:tcPr>
            <w:tcW w:w="6316" w:type="dxa"/>
            <w:vAlign w:val="center"/>
          </w:tcPr>
          <w:p w14:paraId="0819DC9B" w14:textId="00466D68" w:rsidR="00454D72" w:rsidRPr="009B381E" w:rsidRDefault="00670C79" w:rsidP="00A70147">
            <w:pPr>
              <w:jc w:val="both"/>
            </w:pPr>
            <w:r w:rsidRPr="009B381E">
              <w:t>Nu au fost identificate.</w:t>
            </w:r>
          </w:p>
        </w:tc>
      </w:tr>
    </w:tbl>
    <w:p w14:paraId="199CE10D" w14:textId="77777777" w:rsidR="00A70147" w:rsidRDefault="00A70147" w:rsidP="00312FF3">
      <w:pPr>
        <w:spacing w:line="276" w:lineRule="auto"/>
        <w:ind w:left="180"/>
        <w:rPr>
          <w:b/>
        </w:rPr>
      </w:pPr>
    </w:p>
    <w:p w14:paraId="3FBCA191" w14:textId="71DF2BB6" w:rsidR="00670C79" w:rsidRPr="009B381E" w:rsidRDefault="00670C79" w:rsidP="00312FF3">
      <w:pPr>
        <w:spacing w:line="276" w:lineRule="auto"/>
        <w:ind w:left="180"/>
        <w:rPr>
          <w:b/>
        </w:rPr>
      </w:pPr>
      <w:r w:rsidRPr="009B381E">
        <w:rPr>
          <w:b/>
        </w:rPr>
        <w:t>Secţiunea a 8- a. Măsuri de implementare</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520BE3" w:rsidRPr="009B381E" w14:paraId="5DF118D5" w14:textId="77777777" w:rsidTr="00E20EAD">
        <w:tc>
          <w:tcPr>
            <w:tcW w:w="3931" w:type="dxa"/>
          </w:tcPr>
          <w:p w14:paraId="428F02E7" w14:textId="397BA6B3" w:rsidR="00575BCE" w:rsidRPr="009B381E" w:rsidRDefault="00670C79" w:rsidP="00A70147">
            <w:pPr>
              <w:jc w:val="both"/>
            </w:pPr>
            <w:r w:rsidRPr="009B381E">
              <w:t>1. Măsuri de punere în aplicare a proiectului de act normativ de către autorităţile administrative publice centrale şi/sau locale-înfiinţarea sau extinderea competenţei instituţiilor existente</w:t>
            </w:r>
          </w:p>
        </w:tc>
        <w:tc>
          <w:tcPr>
            <w:tcW w:w="6329" w:type="dxa"/>
            <w:vAlign w:val="center"/>
          </w:tcPr>
          <w:p w14:paraId="036F3FD9" w14:textId="77777777" w:rsidR="00670C79" w:rsidRPr="009B381E" w:rsidRDefault="00670C79" w:rsidP="00A70147">
            <w:pPr>
              <w:pStyle w:val="Heading1"/>
              <w:spacing w:line="240" w:lineRule="auto"/>
              <w:jc w:val="both"/>
              <w:rPr>
                <w:sz w:val="24"/>
              </w:rPr>
            </w:pPr>
            <w:r w:rsidRPr="009B381E">
              <w:rPr>
                <w:sz w:val="24"/>
              </w:rPr>
              <w:t>Proiectul de act normativ nu se referă la acest subiect.</w:t>
            </w:r>
          </w:p>
        </w:tc>
      </w:tr>
      <w:tr w:rsidR="00520BE3" w:rsidRPr="009B381E" w14:paraId="527F2573" w14:textId="77777777" w:rsidTr="00E20EAD">
        <w:tc>
          <w:tcPr>
            <w:tcW w:w="3931" w:type="dxa"/>
          </w:tcPr>
          <w:p w14:paraId="05529BA5" w14:textId="77777777" w:rsidR="00670C79" w:rsidRPr="009B381E" w:rsidRDefault="00670C79" w:rsidP="00A70147">
            <w:pPr>
              <w:jc w:val="both"/>
            </w:pPr>
            <w:r w:rsidRPr="009B381E">
              <w:t>2. Alte informaţii</w:t>
            </w:r>
          </w:p>
        </w:tc>
        <w:tc>
          <w:tcPr>
            <w:tcW w:w="6329" w:type="dxa"/>
            <w:vAlign w:val="center"/>
          </w:tcPr>
          <w:p w14:paraId="4D29AA82" w14:textId="6FD4430D" w:rsidR="00575BCE" w:rsidRPr="009B381E" w:rsidRDefault="00670C79" w:rsidP="00A70147">
            <w:pPr>
              <w:jc w:val="both"/>
            </w:pPr>
            <w:r w:rsidRPr="009B381E">
              <w:t>Nu au fost identificate.</w:t>
            </w:r>
          </w:p>
        </w:tc>
      </w:tr>
    </w:tbl>
    <w:p w14:paraId="226E381F" w14:textId="796BD214" w:rsidR="00680184" w:rsidRPr="009B381E" w:rsidRDefault="00680184" w:rsidP="00A70147">
      <w:pPr>
        <w:widowControl w:val="0"/>
        <w:jc w:val="both"/>
      </w:pPr>
    </w:p>
    <w:p w14:paraId="6B9F6BC8" w14:textId="77777777" w:rsidR="00C5468F" w:rsidRPr="009B381E" w:rsidRDefault="00C5468F" w:rsidP="00312FF3">
      <w:pPr>
        <w:widowControl w:val="0"/>
        <w:spacing w:line="276" w:lineRule="auto"/>
        <w:jc w:val="both"/>
        <w:sectPr w:rsidR="00C5468F" w:rsidRPr="009B381E" w:rsidSect="008E1534">
          <w:footerReference w:type="even" r:id="rId8"/>
          <w:footerReference w:type="default" r:id="rId9"/>
          <w:pgSz w:w="12240" w:h="15840"/>
          <w:pgMar w:top="737" w:right="851" w:bottom="360" w:left="851" w:header="709" w:footer="709" w:gutter="0"/>
          <w:cols w:space="708"/>
          <w:docGrid w:linePitch="360"/>
        </w:sectPr>
      </w:pPr>
    </w:p>
    <w:p w14:paraId="04ED1DF1" w14:textId="46973EE5" w:rsidR="006B075E" w:rsidRDefault="007C3CB1" w:rsidP="00312FF3">
      <w:pPr>
        <w:widowControl w:val="0"/>
        <w:spacing w:line="276" w:lineRule="auto"/>
        <w:jc w:val="both"/>
      </w:pPr>
      <w:r w:rsidRPr="009B381E">
        <w:lastRenderedPageBreak/>
        <w:t>Față</w:t>
      </w:r>
      <w:r w:rsidR="00670C79" w:rsidRPr="009B381E">
        <w:t xml:space="preserve"> de cele prezentate mai sus, a fost promovat prezentul proiect de </w:t>
      </w:r>
      <w:r w:rsidR="007E2B3E" w:rsidRPr="009B381E">
        <w:rPr>
          <w:b/>
          <w:i/>
          <w:lang w:eastAsia="ro-RO"/>
        </w:rPr>
        <w:t xml:space="preserve">Ordonanță de urgență </w:t>
      </w:r>
      <w:r w:rsidR="000369EF" w:rsidRPr="009B381E">
        <w:rPr>
          <w:b/>
          <w:i/>
          <w:lang w:eastAsia="ro-RO"/>
        </w:rPr>
        <w:t xml:space="preserve">privind gestionarea financiară a fondurilor europene pentru perioada de programare 2021-2027 alocate României din Fondul European de Dezvoltare Regională, Fondul de Coeziune, Fondul Social European Plus, Fondul pentru Tranziție Justă, </w:t>
      </w:r>
      <w:r w:rsidR="005E494D" w:rsidRPr="009B381E">
        <w:rPr>
          <w:b/>
        </w:rPr>
        <w:t xml:space="preserve"> </w:t>
      </w:r>
      <w:r w:rsidR="00E07299" w:rsidRPr="009B381E">
        <w:t>care</w:t>
      </w:r>
      <w:r w:rsidR="00670C79" w:rsidRPr="009B381E">
        <w:t xml:space="preserve"> în forma prezentată, a fost avizat de </w:t>
      </w:r>
      <w:r w:rsidR="008752C0" w:rsidRPr="009B381E">
        <w:t xml:space="preserve">Consiliul Legislativ, precum şi de către </w:t>
      </w:r>
      <w:r w:rsidR="00670C79" w:rsidRPr="009B381E">
        <w:t>ministerele interesate şi pe care îl supunem adoptării.</w:t>
      </w:r>
    </w:p>
    <w:p w14:paraId="01229D73" w14:textId="77777777" w:rsidR="008C471E" w:rsidRPr="009B381E" w:rsidRDefault="008C471E" w:rsidP="00312FF3">
      <w:pPr>
        <w:widowControl w:val="0"/>
        <w:spacing w:line="276" w:lineRule="auto"/>
        <w:jc w:val="both"/>
        <w:rPr>
          <w:b/>
          <w:lang w:eastAsia="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5073"/>
      </w:tblGrid>
      <w:tr w:rsidR="001E7255" w:rsidRPr="009B381E" w14:paraId="0A365F3B" w14:textId="19CCBB65" w:rsidTr="00C150BB">
        <w:trPr>
          <w:trHeight w:val="1495"/>
        </w:trPr>
        <w:tc>
          <w:tcPr>
            <w:tcW w:w="5347" w:type="dxa"/>
          </w:tcPr>
          <w:p w14:paraId="7A60C5DC" w14:textId="3C626122" w:rsidR="001E7255" w:rsidRPr="009B381E" w:rsidRDefault="001E7255" w:rsidP="00BA000A">
            <w:pPr>
              <w:jc w:val="center"/>
              <w:rPr>
                <w:b/>
                <w:bCs/>
              </w:rPr>
            </w:pPr>
            <w:r w:rsidRPr="009B381E">
              <w:rPr>
                <w:b/>
                <w:bCs/>
              </w:rPr>
              <w:t>MINISTRUL INVESTIȚIILOR ȘI PROIECTELOR EUROPENE</w:t>
            </w:r>
          </w:p>
          <w:p w14:paraId="227D1529" w14:textId="77777777" w:rsidR="00BA000A" w:rsidRDefault="00BA000A" w:rsidP="00BA000A">
            <w:pPr>
              <w:jc w:val="center"/>
              <w:rPr>
                <w:b/>
                <w:bCs/>
              </w:rPr>
            </w:pPr>
          </w:p>
          <w:p w14:paraId="5F247874" w14:textId="38489372" w:rsidR="001E7255" w:rsidRPr="009B381E" w:rsidRDefault="00AF5EEF" w:rsidP="00BA000A">
            <w:pPr>
              <w:jc w:val="center"/>
            </w:pPr>
            <w:r>
              <w:rPr>
                <w:b/>
                <w:bCs/>
              </w:rPr>
              <w:t>Dan VÎLCEANU</w:t>
            </w:r>
            <w:r w:rsidRPr="009B381E">
              <w:rPr>
                <w:b/>
                <w:bCs/>
              </w:rPr>
              <w:t xml:space="preserve"> </w:t>
            </w:r>
          </w:p>
        </w:tc>
        <w:tc>
          <w:tcPr>
            <w:tcW w:w="5073" w:type="dxa"/>
          </w:tcPr>
          <w:p w14:paraId="7BC2A4EF" w14:textId="3857E60F" w:rsidR="00DB31BA" w:rsidRDefault="006F2A8A" w:rsidP="00BA000A">
            <w:pPr>
              <w:jc w:val="center"/>
              <w:rPr>
                <w:b/>
                <w:bCs/>
              </w:rPr>
            </w:pPr>
            <w:r w:rsidRPr="009B381E">
              <w:rPr>
                <w:b/>
                <w:bCs/>
              </w:rPr>
              <w:t>MINISTRUL FINANŢELOR</w:t>
            </w:r>
            <w:r w:rsidR="00806A0E">
              <w:rPr>
                <w:b/>
                <w:bCs/>
              </w:rPr>
              <w:t xml:space="preserve"> </w:t>
            </w:r>
          </w:p>
          <w:p w14:paraId="0F8F579C" w14:textId="77777777" w:rsidR="00DB31BA" w:rsidRDefault="00DB31BA" w:rsidP="00BA000A">
            <w:pPr>
              <w:jc w:val="center"/>
              <w:rPr>
                <w:b/>
                <w:bCs/>
              </w:rPr>
            </w:pPr>
          </w:p>
          <w:p w14:paraId="513E961C" w14:textId="77777777" w:rsidR="00BA000A" w:rsidRDefault="00BA000A" w:rsidP="00BA000A">
            <w:pPr>
              <w:jc w:val="center"/>
              <w:rPr>
                <w:b/>
                <w:bCs/>
              </w:rPr>
            </w:pPr>
          </w:p>
          <w:p w14:paraId="5E3DD3C7" w14:textId="65D3EECA" w:rsidR="00AE7035" w:rsidRPr="009B381E" w:rsidRDefault="00AF5EEF" w:rsidP="00BA000A">
            <w:pPr>
              <w:jc w:val="center"/>
              <w:rPr>
                <w:b/>
                <w:bCs/>
              </w:rPr>
            </w:pPr>
            <w:r w:rsidRPr="00AF5EEF">
              <w:rPr>
                <w:b/>
                <w:bCs/>
              </w:rPr>
              <w:t>Adrian CÂCIU</w:t>
            </w:r>
          </w:p>
        </w:tc>
      </w:tr>
      <w:tr w:rsidR="00460CE3" w:rsidRPr="009B381E" w14:paraId="778822FF" w14:textId="77777777" w:rsidTr="00C150BB">
        <w:trPr>
          <w:trHeight w:val="1495"/>
        </w:trPr>
        <w:tc>
          <w:tcPr>
            <w:tcW w:w="5347" w:type="dxa"/>
          </w:tcPr>
          <w:tbl>
            <w:tblPr>
              <w:tblStyle w:val="TableGrid"/>
              <w:tblW w:w="47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283"/>
            </w:tblGrid>
            <w:tr w:rsidR="00460CE3" w14:paraId="691248C0" w14:textId="77777777" w:rsidTr="00460CE3">
              <w:trPr>
                <w:trHeight w:val="1611"/>
              </w:trPr>
              <w:tc>
                <w:tcPr>
                  <w:tcW w:w="4487" w:type="dxa"/>
                </w:tcPr>
                <w:p w14:paraId="4F473BB6" w14:textId="2CE1DD9F" w:rsidR="00460CE3" w:rsidRDefault="00324260" w:rsidP="00460CE3">
                  <w:pPr>
                    <w:jc w:val="center"/>
                    <w:rPr>
                      <w:b/>
                      <w:bCs/>
                    </w:rPr>
                  </w:pPr>
                  <w:r w:rsidRPr="006F2A8A">
                    <w:rPr>
                      <w:b/>
                      <w:bCs/>
                    </w:rPr>
                    <w:t>VICEPRIM-MINISTRU</w:t>
                  </w:r>
                  <w:r>
                    <w:rPr>
                      <w:b/>
                      <w:bCs/>
                    </w:rPr>
                    <w:t xml:space="preserve">, </w:t>
                  </w:r>
                  <w:r w:rsidR="00460CE3">
                    <w:rPr>
                      <w:b/>
                      <w:bCs/>
                    </w:rPr>
                    <w:t>MINISTRUL TRANSPORTURILOR ȘI INFRASTRUCTURII</w:t>
                  </w:r>
                </w:p>
                <w:p w14:paraId="7ACA9FF6" w14:textId="77777777" w:rsidR="00460CE3" w:rsidRDefault="00460CE3" w:rsidP="00460CE3">
                  <w:pPr>
                    <w:jc w:val="center"/>
                    <w:rPr>
                      <w:b/>
                      <w:bCs/>
                    </w:rPr>
                  </w:pPr>
                </w:p>
                <w:p w14:paraId="4A67A152" w14:textId="4D7A6156" w:rsidR="00460CE3" w:rsidRDefault="00AF5EEF" w:rsidP="00460CE3">
                  <w:pPr>
                    <w:jc w:val="center"/>
                    <w:rPr>
                      <w:b/>
                      <w:bCs/>
                    </w:rPr>
                  </w:pPr>
                  <w:r w:rsidRPr="00AF5EEF">
                    <w:rPr>
                      <w:b/>
                      <w:bCs/>
                    </w:rPr>
                    <w:t xml:space="preserve">Sorin </w:t>
                  </w:r>
                  <w:r w:rsidR="008F2D62">
                    <w:rPr>
                      <w:b/>
                      <w:bCs/>
                    </w:rPr>
                    <w:t xml:space="preserve">Mihai </w:t>
                  </w:r>
                  <w:r w:rsidRPr="00AF5EEF">
                    <w:rPr>
                      <w:b/>
                      <w:bCs/>
                    </w:rPr>
                    <w:t>GRINDEANU</w:t>
                  </w:r>
                </w:p>
              </w:tc>
              <w:tc>
                <w:tcPr>
                  <w:tcW w:w="283" w:type="dxa"/>
                </w:tcPr>
                <w:p w14:paraId="615DDDC9" w14:textId="77777777" w:rsidR="00460CE3" w:rsidRDefault="00460CE3" w:rsidP="00460CE3">
                  <w:pPr>
                    <w:jc w:val="center"/>
                    <w:rPr>
                      <w:b/>
                      <w:bCs/>
                    </w:rPr>
                  </w:pPr>
                </w:p>
              </w:tc>
            </w:tr>
          </w:tbl>
          <w:p w14:paraId="1194D6D5" w14:textId="77777777" w:rsidR="00460CE3" w:rsidRPr="009B381E" w:rsidRDefault="00460CE3" w:rsidP="00BA000A">
            <w:pPr>
              <w:jc w:val="center"/>
              <w:rPr>
                <w:b/>
                <w:bCs/>
              </w:rPr>
            </w:pPr>
          </w:p>
        </w:tc>
        <w:tc>
          <w:tcPr>
            <w:tcW w:w="5073" w:type="dxa"/>
          </w:tcPr>
          <w:p w14:paraId="579C2FC4" w14:textId="77777777" w:rsidR="00460CE3" w:rsidRDefault="00460CE3" w:rsidP="00460CE3">
            <w:pPr>
              <w:jc w:val="center"/>
              <w:rPr>
                <w:b/>
                <w:bCs/>
              </w:rPr>
            </w:pPr>
            <w:r>
              <w:rPr>
                <w:b/>
                <w:bCs/>
              </w:rPr>
              <w:t>MINISTRUL DEZVOLTĂRII, LUCRĂRILOR PUBLICE ȘI ADMINISTRAȚIEI</w:t>
            </w:r>
          </w:p>
          <w:p w14:paraId="1DE14740" w14:textId="77777777" w:rsidR="00460CE3" w:rsidRDefault="00460CE3" w:rsidP="00460CE3">
            <w:pPr>
              <w:jc w:val="center"/>
              <w:rPr>
                <w:b/>
                <w:bCs/>
              </w:rPr>
            </w:pPr>
          </w:p>
          <w:p w14:paraId="66771BF1" w14:textId="7FD63997" w:rsidR="00460CE3" w:rsidRDefault="004562CD" w:rsidP="00460CE3">
            <w:pPr>
              <w:jc w:val="center"/>
              <w:rPr>
                <w:b/>
                <w:bCs/>
              </w:rPr>
            </w:pPr>
            <w:r>
              <w:rPr>
                <w:b/>
                <w:bCs/>
              </w:rPr>
              <w:t xml:space="preserve">CSEKE </w:t>
            </w:r>
            <w:r w:rsidR="00460CE3">
              <w:rPr>
                <w:b/>
                <w:bCs/>
              </w:rPr>
              <w:t>Attila</w:t>
            </w:r>
            <w:r>
              <w:rPr>
                <w:b/>
                <w:bCs/>
              </w:rPr>
              <w:t>-Zolt</w:t>
            </w:r>
            <w:r w:rsidRPr="004562CD">
              <w:rPr>
                <w:b/>
                <w:bCs/>
              </w:rPr>
              <w:t>á</w:t>
            </w:r>
            <w:r w:rsidR="003B0C77">
              <w:rPr>
                <w:b/>
                <w:bCs/>
              </w:rPr>
              <w:t>n</w:t>
            </w:r>
            <w:r w:rsidR="00460CE3">
              <w:rPr>
                <w:b/>
                <w:bCs/>
              </w:rPr>
              <w:t xml:space="preserve"> </w:t>
            </w:r>
          </w:p>
          <w:p w14:paraId="1602767C" w14:textId="77777777" w:rsidR="00460CE3" w:rsidRPr="009B381E" w:rsidRDefault="00460CE3" w:rsidP="00BA000A">
            <w:pPr>
              <w:jc w:val="center"/>
              <w:rPr>
                <w:b/>
                <w:bCs/>
              </w:rPr>
            </w:pPr>
          </w:p>
        </w:tc>
      </w:tr>
      <w:tr w:rsidR="00CA723F" w:rsidRPr="004F521A" w14:paraId="36C5B4E1" w14:textId="77777777" w:rsidTr="00C150BB">
        <w:tc>
          <w:tcPr>
            <w:tcW w:w="10420" w:type="dxa"/>
            <w:gridSpan w:val="2"/>
          </w:tcPr>
          <w:p w14:paraId="0C6C0670" w14:textId="404B092F" w:rsidR="006F2A8A" w:rsidRDefault="006F2A8A" w:rsidP="00DB31BA">
            <w:pPr>
              <w:spacing w:after="120" w:line="276" w:lineRule="auto"/>
              <w:ind w:left="720" w:hanging="720"/>
              <w:jc w:val="center"/>
              <w:rPr>
                <w:b/>
                <w:bCs/>
              </w:rPr>
            </w:pPr>
            <w:r w:rsidRPr="004F521A">
              <w:rPr>
                <w:b/>
                <w:bCs/>
              </w:rPr>
              <w:t>AVIZĂM:</w:t>
            </w:r>
          </w:p>
          <w:p w14:paraId="44974F98" w14:textId="77777777" w:rsidR="00DB31BA" w:rsidRPr="004F521A" w:rsidRDefault="00DB31BA" w:rsidP="00DB31BA">
            <w:pPr>
              <w:spacing w:after="120" w:line="276" w:lineRule="auto"/>
              <w:ind w:left="720" w:hanging="720"/>
              <w:jc w:val="center"/>
              <w:rPr>
                <w:b/>
                <w:bCs/>
              </w:rPr>
            </w:pPr>
          </w:p>
          <w:p w14:paraId="49AFB302" w14:textId="2AB54CD1" w:rsidR="00AF5EEF" w:rsidRPr="006F2A8A" w:rsidRDefault="00AF5EEF" w:rsidP="00092376">
            <w:pPr>
              <w:spacing w:after="120" w:line="276" w:lineRule="auto"/>
              <w:ind w:left="720" w:hanging="720"/>
              <w:jc w:val="center"/>
              <w:rPr>
                <w:b/>
                <w:bCs/>
              </w:rPr>
            </w:pPr>
            <w:r w:rsidRPr="006F2A8A">
              <w:rPr>
                <w:b/>
                <w:bCs/>
              </w:rPr>
              <w:t>VICEPRIM-MINISTRU</w:t>
            </w:r>
          </w:p>
          <w:p w14:paraId="57802958" w14:textId="0E6DDBAF" w:rsidR="00CE11F6" w:rsidRDefault="004562CD" w:rsidP="00092376">
            <w:pPr>
              <w:spacing w:after="120" w:line="276" w:lineRule="auto"/>
              <w:ind w:left="720" w:hanging="720"/>
              <w:jc w:val="center"/>
              <w:rPr>
                <w:b/>
                <w:bCs/>
              </w:rPr>
            </w:pPr>
            <w:r w:rsidRPr="00AF5EEF">
              <w:rPr>
                <w:b/>
                <w:bCs/>
              </w:rPr>
              <w:t xml:space="preserve">KELEMEN </w:t>
            </w:r>
            <w:r w:rsidR="00AF5EEF" w:rsidRPr="00AF5EEF">
              <w:rPr>
                <w:b/>
                <w:bCs/>
              </w:rPr>
              <w:t xml:space="preserve">Hunor </w:t>
            </w:r>
          </w:p>
          <w:p w14:paraId="116A5182" w14:textId="64D8429B" w:rsidR="00C150BB" w:rsidRPr="004F521A" w:rsidRDefault="00C150BB" w:rsidP="00C150BB">
            <w:pPr>
              <w:spacing w:after="120" w:line="276" w:lineRule="auto"/>
              <w:ind w:left="720" w:hanging="720"/>
              <w:rPr>
                <w:b/>
                <w:bCs/>
              </w:rPr>
            </w:pPr>
          </w:p>
        </w:tc>
      </w:tr>
      <w:tr w:rsidR="00DB31BA" w:rsidRPr="009B381E" w14:paraId="2AAF6447" w14:textId="77777777" w:rsidTr="00C150BB">
        <w:trPr>
          <w:trHeight w:val="3096"/>
        </w:trPr>
        <w:tc>
          <w:tcPr>
            <w:tcW w:w="5347" w:type="dxa"/>
          </w:tcPr>
          <w:p w14:paraId="617271CD" w14:textId="658BFA7A" w:rsidR="000F7896" w:rsidRDefault="000F7896" w:rsidP="000F7896">
            <w:pPr>
              <w:jc w:val="center"/>
              <w:rPr>
                <w:b/>
                <w:bCs/>
              </w:rPr>
            </w:pPr>
            <w:r w:rsidRPr="000F7896">
              <w:rPr>
                <w:b/>
                <w:bCs/>
              </w:rPr>
              <w:t xml:space="preserve">MINISTRUL MEDIULUI, APELOR ȘI PĂDURILOR </w:t>
            </w:r>
          </w:p>
          <w:p w14:paraId="02F32687" w14:textId="77777777" w:rsidR="000F7896" w:rsidRPr="000F7896" w:rsidRDefault="000F7896" w:rsidP="000F7896">
            <w:pPr>
              <w:jc w:val="center"/>
              <w:rPr>
                <w:b/>
                <w:bCs/>
              </w:rPr>
            </w:pPr>
          </w:p>
          <w:p w14:paraId="7E84B244" w14:textId="0F2BD355" w:rsidR="000F7896" w:rsidRDefault="004562CD" w:rsidP="000F7896">
            <w:pPr>
              <w:jc w:val="center"/>
              <w:rPr>
                <w:b/>
                <w:bCs/>
              </w:rPr>
            </w:pPr>
            <w:r w:rsidRPr="000F7896">
              <w:rPr>
                <w:b/>
                <w:bCs/>
              </w:rPr>
              <w:t xml:space="preserve">TÁNCZOS </w:t>
            </w:r>
            <w:r w:rsidR="000F7896" w:rsidRPr="000F7896">
              <w:rPr>
                <w:b/>
                <w:bCs/>
              </w:rPr>
              <w:t xml:space="preserve">Barna </w:t>
            </w:r>
          </w:p>
          <w:p w14:paraId="7DB245EA" w14:textId="77777777" w:rsidR="002D3CFD" w:rsidRDefault="002D3CFD" w:rsidP="000F7896">
            <w:pPr>
              <w:jc w:val="center"/>
              <w:rPr>
                <w:b/>
                <w:bCs/>
              </w:rPr>
            </w:pPr>
          </w:p>
          <w:p w14:paraId="1D77B7D4" w14:textId="14D3FF7C" w:rsidR="000F7896" w:rsidRDefault="000F7896" w:rsidP="000F7896">
            <w:pPr>
              <w:jc w:val="center"/>
              <w:rPr>
                <w:b/>
                <w:bCs/>
              </w:rPr>
            </w:pPr>
          </w:p>
          <w:p w14:paraId="43B7D104" w14:textId="69CABCB3" w:rsidR="000F7896" w:rsidRPr="000F7896" w:rsidRDefault="000F7896" w:rsidP="000F7896">
            <w:pPr>
              <w:jc w:val="center"/>
              <w:rPr>
                <w:b/>
                <w:bCs/>
              </w:rPr>
            </w:pPr>
            <w:r w:rsidRPr="000F7896">
              <w:rPr>
                <w:b/>
                <w:bCs/>
              </w:rPr>
              <w:t>MINISTRUL CERCETĂRII, INOVĂRII ȘI DIGITALIZĂRII</w:t>
            </w:r>
          </w:p>
          <w:p w14:paraId="7DDA5918" w14:textId="77777777" w:rsidR="000F7896" w:rsidRPr="000F7896" w:rsidRDefault="000F7896" w:rsidP="000F7896">
            <w:pPr>
              <w:jc w:val="center"/>
              <w:rPr>
                <w:b/>
                <w:bCs/>
              </w:rPr>
            </w:pPr>
          </w:p>
          <w:p w14:paraId="39313816" w14:textId="117318E8" w:rsidR="00DB31BA" w:rsidRDefault="00AF5EEF" w:rsidP="000F7896">
            <w:pPr>
              <w:jc w:val="center"/>
              <w:rPr>
                <w:b/>
                <w:bCs/>
              </w:rPr>
            </w:pPr>
            <w:r w:rsidRPr="00AF5EEF">
              <w:rPr>
                <w:b/>
                <w:bCs/>
              </w:rPr>
              <w:t>Florin</w:t>
            </w:r>
            <w:r w:rsidR="003B0C77">
              <w:rPr>
                <w:b/>
                <w:bCs/>
              </w:rPr>
              <w:t>-Claudiu</w:t>
            </w:r>
            <w:r w:rsidRPr="00AF5EEF">
              <w:rPr>
                <w:b/>
                <w:bCs/>
              </w:rPr>
              <w:t xml:space="preserve"> ROMAN </w:t>
            </w:r>
          </w:p>
          <w:p w14:paraId="2599505B" w14:textId="53B3F0FF" w:rsidR="002D3CFD" w:rsidRPr="000F7896" w:rsidRDefault="002D3CFD" w:rsidP="000F7896">
            <w:pPr>
              <w:jc w:val="center"/>
              <w:rPr>
                <w:b/>
                <w:bCs/>
              </w:rPr>
            </w:pPr>
          </w:p>
        </w:tc>
        <w:tc>
          <w:tcPr>
            <w:tcW w:w="5073" w:type="dxa"/>
          </w:tcPr>
          <w:p w14:paraId="4078FCD2" w14:textId="77777777" w:rsidR="000F7896" w:rsidRPr="000F7896" w:rsidRDefault="000F7896" w:rsidP="000F7896">
            <w:pPr>
              <w:jc w:val="center"/>
              <w:rPr>
                <w:b/>
                <w:bCs/>
              </w:rPr>
            </w:pPr>
            <w:r w:rsidRPr="000F7896">
              <w:rPr>
                <w:b/>
                <w:bCs/>
              </w:rPr>
              <w:t>MINISTRUL APĂRĂRII NAȚIONALE</w:t>
            </w:r>
          </w:p>
          <w:p w14:paraId="7C87C9E5" w14:textId="77777777" w:rsidR="000F7896" w:rsidRPr="000F7896" w:rsidRDefault="000F7896" w:rsidP="000F7896">
            <w:pPr>
              <w:jc w:val="center"/>
              <w:rPr>
                <w:b/>
                <w:bCs/>
              </w:rPr>
            </w:pPr>
          </w:p>
          <w:p w14:paraId="1C683304" w14:textId="77777777" w:rsidR="00850946" w:rsidRDefault="00850946" w:rsidP="000F7896">
            <w:pPr>
              <w:jc w:val="center"/>
              <w:rPr>
                <w:b/>
                <w:bCs/>
              </w:rPr>
            </w:pPr>
          </w:p>
          <w:p w14:paraId="65175917" w14:textId="1F570C6B" w:rsidR="002D3CFD" w:rsidRPr="000F7896" w:rsidRDefault="00AF5EEF" w:rsidP="000F7896">
            <w:pPr>
              <w:jc w:val="center"/>
              <w:rPr>
                <w:b/>
                <w:bCs/>
              </w:rPr>
            </w:pPr>
            <w:r w:rsidRPr="00AF5EEF">
              <w:rPr>
                <w:b/>
                <w:bCs/>
              </w:rPr>
              <w:t>Vasile</w:t>
            </w:r>
            <w:r w:rsidR="004562CD">
              <w:rPr>
                <w:b/>
                <w:bCs/>
              </w:rPr>
              <w:t xml:space="preserve"> Sebastian</w:t>
            </w:r>
            <w:r w:rsidRPr="00AF5EEF">
              <w:rPr>
                <w:b/>
                <w:bCs/>
              </w:rPr>
              <w:t xml:space="preserve"> DÎNCU</w:t>
            </w:r>
          </w:p>
          <w:p w14:paraId="7CDBA34D" w14:textId="25309A20" w:rsidR="000F7896" w:rsidRDefault="000F7896" w:rsidP="000F7896">
            <w:pPr>
              <w:jc w:val="center"/>
              <w:rPr>
                <w:b/>
                <w:bCs/>
              </w:rPr>
            </w:pPr>
          </w:p>
          <w:p w14:paraId="549591C5" w14:textId="77777777" w:rsidR="00AF5EEF" w:rsidRPr="000F7896" w:rsidRDefault="00AF5EEF" w:rsidP="000F7896">
            <w:pPr>
              <w:jc w:val="center"/>
              <w:rPr>
                <w:b/>
                <w:bCs/>
              </w:rPr>
            </w:pPr>
          </w:p>
          <w:p w14:paraId="1114C381" w14:textId="786F5CDB" w:rsidR="000F7896" w:rsidRPr="000F7896" w:rsidRDefault="000F7896" w:rsidP="000F7896">
            <w:pPr>
              <w:jc w:val="center"/>
              <w:rPr>
                <w:b/>
                <w:bCs/>
              </w:rPr>
            </w:pPr>
            <w:r w:rsidRPr="000F7896">
              <w:rPr>
                <w:b/>
                <w:bCs/>
              </w:rPr>
              <w:t>MINISTRUL ENERGIEI</w:t>
            </w:r>
          </w:p>
          <w:p w14:paraId="5D834792" w14:textId="77777777" w:rsidR="000F7896" w:rsidRDefault="000F7896" w:rsidP="000F7896">
            <w:pPr>
              <w:jc w:val="center"/>
              <w:rPr>
                <w:b/>
                <w:bCs/>
              </w:rPr>
            </w:pPr>
          </w:p>
          <w:p w14:paraId="358CA254" w14:textId="77777777" w:rsidR="000F7896" w:rsidRDefault="000F7896" w:rsidP="000F7896">
            <w:pPr>
              <w:jc w:val="center"/>
              <w:rPr>
                <w:b/>
                <w:bCs/>
              </w:rPr>
            </w:pPr>
          </w:p>
          <w:p w14:paraId="5F90DE7B" w14:textId="77777777" w:rsidR="00DB31BA" w:rsidRDefault="000F7896" w:rsidP="000F7896">
            <w:pPr>
              <w:jc w:val="center"/>
              <w:rPr>
                <w:b/>
                <w:bCs/>
              </w:rPr>
            </w:pPr>
            <w:r w:rsidRPr="000F7896">
              <w:rPr>
                <w:b/>
                <w:bCs/>
              </w:rPr>
              <w:t>Virgil-Daniel POPESCU</w:t>
            </w:r>
          </w:p>
          <w:p w14:paraId="09C0209A" w14:textId="4BC1A983" w:rsidR="002D3CFD" w:rsidRPr="009B381E" w:rsidRDefault="002D3CFD" w:rsidP="000F7896">
            <w:pPr>
              <w:jc w:val="center"/>
              <w:rPr>
                <w:b/>
                <w:bCs/>
              </w:rPr>
            </w:pPr>
          </w:p>
        </w:tc>
      </w:tr>
      <w:tr w:rsidR="00876521" w:rsidRPr="009B381E" w14:paraId="7929DC02" w14:textId="77777777" w:rsidTr="00C150BB">
        <w:trPr>
          <w:trHeight w:val="1481"/>
        </w:trPr>
        <w:tc>
          <w:tcPr>
            <w:tcW w:w="5347" w:type="dxa"/>
          </w:tcPr>
          <w:p w14:paraId="0F618D17" w14:textId="77777777" w:rsidR="00876521" w:rsidRDefault="00876521" w:rsidP="00C150BB">
            <w:pPr>
              <w:spacing w:after="240"/>
              <w:ind w:left="720" w:hanging="720"/>
              <w:jc w:val="center"/>
              <w:rPr>
                <w:b/>
                <w:bCs/>
              </w:rPr>
            </w:pPr>
            <w:r>
              <w:rPr>
                <w:b/>
                <w:bCs/>
              </w:rPr>
              <w:t>PREȘEDINTELE AGENȚIEI NAȚIONALE PENTRU ACHIZIȚII PUBLICE</w:t>
            </w:r>
          </w:p>
          <w:p w14:paraId="6FDC4683" w14:textId="3EACE8F0" w:rsidR="00876521" w:rsidRPr="00DB31BA" w:rsidRDefault="00876521" w:rsidP="00C150BB">
            <w:pPr>
              <w:spacing w:after="240"/>
              <w:ind w:left="720" w:hanging="720"/>
              <w:jc w:val="center"/>
              <w:rPr>
                <w:b/>
                <w:bCs/>
              </w:rPr>
            </w:pPr>
            <w:r>
              <w:rPr>
                <w:b/>
                <w:bCs/>
              </w:rPr>
              <w:t>Liviu BOSTAN</w:t>
            </w:r>
          </w:p>
        </w:tc>
        <w:tc>
          <w:tcPr>
            <w:tcW w:w="5073" w:type="dxa"/>
          </w:tcPr>
          <w:p w14:paraId="792CEB44" w14:textId="75D84196" w:rsidR="00876521" w:rsidRDefault="00876521" w:rsidP="00C150BB">
            <w:pPr>
              <w:ind w:left="720" w:hanging="720"/>
              <w:jc w:val="both"/>
              <w:rPr>
                <w:b/>
                <w:bCs/>
              </w:rPr>
            </w:pPr>
            <w:r>
              <w:rPr>
                <w:b/>
                <w:bCs/>
              </w:rPr>
              <w:t xml:space="preserve">  </w:t>
            </w:r>
            <w:r w:rsidR="00217BF3">
              <w:rPr>
                <w:b/>
                <w:bCs/>
              </w:rPr>
              <w:t xml:space="preserve">            MINISTRUL ECONOMIEI</w:t>
            </w:r>
          </w:p>
          <w:p w14:paraId="0B51FA09" w14:textId="77777777" w:rsidR="00217BF3" w:rsidRDefault="00217BF3" w:rsidP="00C150BB">
            <w:pPr>
              <w:shd w:val="clear" w:color="auto" w:fill="FFFFFF"/>
              <w:spacing w:after="240"/>
              <w:jc w:val="center"/>
              <w:rPr>
                <w:b/>
                <w:bCs/>
              </w:rPr>
            </w:pPr>
          </w:p>
          <w:p w14:paraId="778774F5" w14:textId="47C74D43" w:rsidR="00876521" w:rsidRDefault="003B0C77" w:rsidP="00C150BB">
            <w:pPr>
              <w:shd w:val="clear" w:color="auto" w:fill="FFFFFF"/>
              <w:spacing w:after="240"/>
              <w:jc w:val="center"/>
              <w:rPr>
                <w:b/>
                <w:bCs/>
              </w:rPr>
            </w:pPr>
            <w:r>
              <w:rPr>
                <w:b/>
                <w:bCs/>
              </w:rPr>
              <w:t>Florin Mari</w:t>
            </w:r>
            <w:r w:rsidR="000265F7">
              <w:rPr>
                <w:b/>
                <w:bCs/>
              </w:rPr>
              <w:t>a</w:t>
            </w:r>
            <w:r>
              <w:rPr>
                <w:b/>
                <w:bCs/>
              </w:rPr>
              <w:t>n</w:t>
            </w:r>
            <w:r w:rsidR="00C150BB">
              <w:rPr>
                <w:b/>
                <w:bCs/>
              </w:rPr>
              <w:t xml:space="preserve"> SPĂTARU</w:t>
            </w:r>
          </w:p>
          <w:p w14:paraId="7089FFDE" w14:textId="25E5AF6B" w:rsidR="00CE11F6" w:rsidRPr="009B381E" w:rsidRDefault="00CE11F6" w:rsidP="00C150BB">
            <w:pPr>
              <w:shd w:val="clear" w:color="auto" w:fill="FFFFFF"/>
              <w:spacing w:after="240"/>
              <w:jc w:val="center"/>
              <w:rPr>
                <w:b/>
                <w:bCs/>
              </w:rPr>
            </w:pPr>
          </w:p>
        </w:tc>
      </w:tr>
      <w:tr w:rsidR="00876521" w:rsidRPr="009B381E" w14:paraId="0A864A46" w14:textId="77777777" w:rsidTr="00C150BB">
        <w:trPr>
          <w:trHeight w:val="1553"/>
        </w:trPr>
        <w:tc>
          <w:tcPr>
            <w:tcW w:w="5347" w:type="dxa"/>
          </w:tcPr>
          <w:p w14:paraId="7BCA38B9" w14:textId="4A007FC1" w:rsidR="00876521" w:rsidRPr="000F7896" w:rsidRDefault="00876521" w:rsidP="00C150BB">
            <w:pPr>
              <w:spacing w:after="240"/>
              <w:ind w:left="720" w:hanging="720"/>
              <w:jc w:val="center"/>
              <w:rPr>
                <w:b/>
                <w:bCs/>
              </w:rPr>
            </w:pPr>
            <w:r w:rsidRPr="000F7896">
              <w:rPr>
                <w:b/>
                <w:bCs/>
              </w:rPr>
              <w:t>MINISTRUL AFACERILOR EXTERNE</w:t>
            </w:r>
          </w:p>
          <w:p w14:paraId="1AEB9900" w14:textId="6984229C" w:rsidR="00BD08E5" w:rsidRDefault="00876521" w:rsidP="00C150BB">
            <w:pPr>
              <w:spacing w:after="240"/>
              <w:ind w:left="720" w:hanging="720"/>
              <w:jc w:val="center"/>
              <w:rPr>
                <w:b/>
                <w:bCs/>
              </w:rPr>
            </w:pPr>
            <w:r w:rsidRPr="000F7896">
              <w:rPr>
                <w:b/>
                <w:bCs/>
              </w:rPr>
              <w:t xml:space="preserve">Bogdan </w:t>
            </w:r>
            <w:r w:rsidR="004562CD">
              <w:rPr>
                <w:b/>
                <w:bCs/>
              </w:rPr>
              <w:t xml:space="preserve">Lucian </w:t>
            </w:r>
            <w:r w:rsidRPr="000F7896">
              <w:rPr>
                <w:b/>
                <w:bCs/>
              </w:rPr>
              <w:t xml:space="preserve">AURESCU </w:t>
            </w:r>
          </w:p>
        </w:tc>
        <w:tc>
          <w:tcPr>
            <w:tcW w:w="5073" w:type="dxa"/>
          </w:tcPr>
          <w:p w14:paraId="242E5544" w14:textId="07A1104A" w:rsidR="00876521" w:rsidRDefault="00876521" w:rsidP="00876521">
            <w:pPr>
              <w:shd w:val="clear" w:color="auto" w:fill="FFFFFF"/>
              <w:jc w:val="center"/>
              <w:rPr>
                <w:rFonts w:eastAsia="Arial Unicode MS"/>
                <w:b/>
              </w:rPr>
            </w:pPr>
            <w:r w:rsidRPr="009B381E">
              <w:rPr>
                <w:rFonts w:eastAsia="Arial Unicode MS"/>
                <w:b/>
              </w:rPr>
              <w:t>MINISTRUL JUSTIŢIEI</w:t>
            </w:r>
          </w:p>
          <w:p w14:paraId="48FA8B39" w14:textId="77777777" w:rsidR="00C150BB" w:rsidRDefault="00C150BB" w:rsidP="00876521">
            <w:pPr>
              <w:shd w:val="clear" w:color="auto" w:fill="FFFFFF"/>
              <w:jc w:val="center"/>
            </w:pPr>
          </w:p>
          <w:p w14:paraId="5B5943AE" w14:textId="0D30AE4A" w:rsidR="00876521" w:rsidRPr="00A85D7B" w:rsidRDefault="004562CD" w:rsidP="00876521">
            <w:pPr>
              <w:shd w:val="clear" w:color="auto" w:fill="FFFFFF"/>
              <w:jc w:val="center"/>
              <w:rPr>
                <w:b/>
                <w:bCs/>
              </w:rPr>
            </w:pPr>
            <w:r>
              <w:rPr>
                <w:b/>
              </w:rPr>
              <w:t>Marian-</w:t>
            </w:r>
            <w:hyperlink r:id="rId10" w:history="1">
              <w:r w:rsidR="00C150BB">
                <w:rPr>
                  <w:b/>
                </w:rPr>
                <w:t>Cătălin</w:t>
              </w:r>
            </w:hyperlink>
            <w:r w:rsidR="00C150BB">
              <w:rPr>
                <w:b/>
              </w:rPr>
              <w:t xml:space="preserve"> PREDOIU</w:t>
            </w:r>
          </w:p>
        </w:tc>
      </w:tr>
    </w:tbl>
    <w:p w14:paraId="3CC10186" w14:textId="77777777" w:rsidR="00C150BB" w:rsidRDefault="00C150BB" w:rsidP="00357FC9">
      <w:pPr>
        <w:spacing w:line="360" w:lineRule="auto"/>
        <w:jc w:val="center"/>
        <w:rPr>
          <w:b/>
          <w:sz w:val="20"/>
          <w:szCs w:val="20"/>
        </w:rPr>
      </w:pPr>
    </w:p>
    <w:sectPr w:rsidR="00C150BB" w:rsidSect="008E1534">
      <w:pgSz w:w="12240" w:h="15840"/>
      <w:pgMar w:top="73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C6A0" w14:textId="77777777" w:rsidR="006F4543" w:rsidRDefault="006F4543">
      <w:r>
        <w:separator/>
      </w:r>
    </w:p>
  </w:endnote>
  <w:endnote w:type="continuationSeparator" w:id="0">
    <w:p w14:paraId="184E7827" w14:textId="77777777" w:rsidR="006F4543" w:rsidRDefault="006F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418" w14:textId="77777777" w:rsidR="00EA23CB" w:rsidRDefault="00670C79"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33C72" w14:textId="77777777" w:rsidR="00EA23CB" w:rsidRDefault="006F4543" w:rsidP="001C5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F9A" w14:textId="77777777" w:rsidR="00EA23CB" w:rsidRDefault="006F4543" w:rsidP="001C5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74E4" w14:textId="77777777" w:rsidR="006F4543" w:rsidRDefault="006F4543">
      <w:r>
        <w:separator/>
      </w:r>
    </w:p>
  </w:footnote>
  <w:footnote w:type="continuationSeparator" w:id="0">
    <w:p w14:paraId="60E51F18" w14:textId="77777777" w:rsidR="006F4543" w:rsidRDefault="006F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3863"/>
    <w:multiLevelType w:val="hybridMultilevel"/>
    <w:tmpl w:val="8F3EDD4E"/>
    <w:lvl w:ilvl="0" w:tplc="FF422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3487A"/>
    <w:multiLevelType w:val="hybridMultilevel"/>
    <w:tmpl w:val="76A40B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5E3BB0"/>
    <w:multiLevelType w:val="hybridMultilevel"/>
    <w:tmpl w:val="81C2583E"/>
    <w:lvl w:ilvl="0" w:tplc="0D6C67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1365F"/>
    <w:multiLevelType w:val="hybridMultilevel"/>
    <w:tmpl w:val="576421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1D40AD"/>
    <w:multiLevelType w:val="hybridMultilevel"/>
    <w:tmpl w:val="EFF2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8AF1295"/>
    <w:multiLevelType w:val="hybridMultilevel"/>
    <w:tmpl w:val="0CF8FBF8"/>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4"/>
  </w:num>
  <w:num w:numId="6">
    <w:abstractNumId w:val="9"/>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A6"/>
    <w:rsid w:val="000019B6"/>
    <w:rsid w:val="00002E4A"/>
    <w:rsid w:val="000042B4"/>
    <w:rsid w:val="00006F20"/>
    <w:rsid w:val="0001318A"/>
    <w:rsid w:val="00013621"/>
    <w:rsid w:val="0001442E"/>
    <w:rsid w:val="000155D5"/>
    <w:rsid w:val="00017D04"/>
    <w:rsid w:val="0002299E"/>
    <w:rsid w:val="00024F37"/>
    <w:rsid w:val="00025015"/>
    <w:rsid w:val="000260DD"/>
    <w:rsid w:val="000265F7"/>
    <w:rsid w:val="00026B13"/>
    <w:rsid w:val="00027469"/>
    <w:rsid w:val="0003205B"/>
    <w:rsid w:val="00035D17"/>
    <w:rsid w:val="000369EF"/>
    <w:rsid w:val="00040B7B"/>
    <w:rsid w:val="00043471"/>
    <w:rsid w:val="00043911"/>
    <w:rsid w:val="00044209"/>
    <w:rsid w:val="0004452D"/>
    <w:rsid w:val="00046B44"/>
    <w:rsid w:val="00054869"/>
    <w:rsid w:val="00054DF8"/>
    <w:rsid w:val="000563C0"/>
    <w:rsid w:val="00057629"/>
    <w:rsid w:val="00060E2F"/>
    <w:rsid w:val="00061E6F"/>
    <w:rsid w:val="0006216F"/>
    <w:rsid w:val="0006409E"/>
    <w:rsid w:val="00064A6B"/>
    <w:rsid w:val="00070830"/>
    <w:rsid w:val="00073195"/>
    <w:rsid w:val="000733D3"/>
    <w:rsid w:val="0007609F"/>
    <w:rsid w:val="00076C55"/>
    <w:rsid w:val="000808EE"/>
    <w:rsid w:val="00081475"/>
    <w:rsid w:val="00083DB6"/>
    <w:rsid w:val="00083EAF"/>
    <w:rsid w:val="00085904"/>
    <w:rsid w:val="00086114"/>
    <w:rsid w:val="00087383"/>
    <w:rsid w:val="00090676"/>
    <w:rsid w:val="0009222E"/>
    <w:rsid w:val="00092376"/>
    <w:rsid w:val="0009320D"/>
    <w:rsid w:val="00094481"/>
    <w:rsid w:val="000949D2"/>
    <w:rsid w:val="00095300"/>
    <w:rsid w:val="0009621B"/>
    <w:rsid w:val="000A06E8"/>
    <w:rsid w:val="000A437E"/>
    <w:rsid w:val="000A6298"/>
    <w:rsid w:val="000A71F1"/>
    <w:rsid w:val="000B391A"/>
    <w:rsid w:val="000B4945"/>
    <w:rsid w:val="000B55D8"/>
    <w:rsid w:val="000B650E"/>
    <w:rsid w:val="000B665D"/>
    <w:rsid w:val="000B7506"/>
    <w:rsid w:val="000C3277"/>
    <w:rsid w:val="000C4A4F"/>
    <w:rsid w:val="000C54A4"/>
    <w:rsid w:val="000C614B"/>
    <w:rsid w:val="000C7D63"/>
    <w:rsid w:val="000C7EAF"/>
    <w:rsid w:val="000C7EEC"/>
    <w:rsid w:val="000D0889"/>
    <w:rsid w:val="000D315E"/>
    <w:rsid w:val="000D4132"/>
    <w:rsid w:val="000D4C09"/>
    <w:rsid w:val="000E0EA4"/>
    <w:rsid w:val="000E2C2D"/>
    <w:rsid w:val="000E3A58"/>
    <w:rsid w:val="000E74F5"/>
    <w:rsid w:val="000F26C2"/>
    <w:rsid w:val="000F40EF"/>
    <w:rsid w:val="000F6105"/>
    <w:rsid w:val="000F7896"/>
    <w:rsid w:val="00100251"/>
    <w:rsid w:val="00101A9B"/>
    <w:rsid w:val="001023B0"/>
    <w:rsid w:val="0010482B"/>
    <w:rsid w:val="00105808"/>
    <w:rsid w:val="001067AA"/>
    <w:rsid w:val="00107736"/>
    <w:rsid w:val="00107740"/>
    <w:rsid w:val="00107E28"/>
    <w:rsid w:val="00112E9E"/>
    <w:rsid w:val="001147BA"/>
    <w:rsid w:val="0011501B"/>
    <w:rsid w:val="00115083"/>
    <w:rsid w:val="00115131"/>
    <w:rsid w:val="00121CCC"/>
    <w:rsid w:val="00125245"/>
    <w:rsid w:val="00126BBF"/>
    <w:rsid w:val="00130ADF"/>
    <w:rsid w:val="00131281"/>
    <w:rsid w:val="001313D8"/>
    <w:rsid w:val="0013230E"/>
    <w:rsid w:val="00133A3B"/>
    <w:rsid w:val="0013619D"/>
    <w:rsid w:val="0013676D"/>
    <w:rsid w:val="001459BC"/>
    <w:rsid w:val="00152085"/>
    <w:rsid w:val="001528E8"/>
    <w:rsid w:val="00153B2A"/>
    <w:rsid w:val="0015446A"/>
    <w:rsid w:val="001544DC"/>
    <w:rsid w:val="0015762E"/>
    <w:rsid w:val="00161A61"/>
    <w:rsid w:val="00164FF3"/>
    <w:rsid w:val="00165A07"/>
    <w:rsid w:val="00165D35"/>
    <w:rsid w:val="0016785A"/>
    <w:rsid w:val="00167EF9"/>
    <w:rsid w:val="0017030A"/>
    <w:rsid w:val="00172493"/>
    <w:rsid w:val="00173986"/>
    <w:rsid w:val="0017630C"/>
    <w:rsid w:val="001776C1"/>
    <w:rsid w:val="00177CD3"/>
    <w:rsid w:val="00177EC3"/>
    <w:rsid w:val="00181323"/>
    <w:rsid w:val="0019189C"/>
    <w:rsid w:val="001919CC"/>
    <w:rsid w:val="0019387C"/>
    <w:rsid w:val="001945C9"/>
    <w:rsid w:val="001A0854"/>
    <w:rsid w:val="001A0AEA"/>
    <w:rsid w:val="001A1AA3"/>
    <w:rsid w:val="001A1AE5"/>
    <w:rsid w:val="001A1D31"/>
    <w:rsid w:val="001A2A6E"/>
    <w:rsid w:val="001A374F"/>
    <w:rsid w:val="001A4420"/>
    <w:rsid w:val="001A78A0"/>
    <w:rsid w:val="001A7C31"/>
    <w:rsid w:val="001B1912"/>
    <w:rsid w:val="001B23D0"/>
    <w:rsid w:val="001B2B36"/>
    <w:rsid w:val="001B3B27"/>
    <w:rsid w:val="001B6DD8"/>
    <w:rsid w:val="001B7961"/>
    <w:rsid w:val="001C2EA5"/>
    <w:rsid w:val="001C33B5"/>
    <w:rsid w:val="001C4735"/>
    <w:rsid w:val="001C6BF4"/>
    <w:rsid w:val="001C7510"/>
    <w:rsid w:val="001C7F48"/>
    <w:rsid w:val="001D0467"/>
    <w:rsid w:val="001D7448"/>
    <w:rsid w:val="001E058E"/>
    <w:rsid w:val="001E0BD4"/>
    <w:rsid w:val="001E0D0D"/>
    <w:rsid w:val="001E11B1"/>
    <w:rsid w:val="001E2092"/>
    <w:rsid w:val="001E55B3"/>
    <w:rsid w:val="001E69E4"/>
    <w:rsid w:val="001E6A4B"/>
    <w:rsid w:val="001E708B"/>
    <w:rsid w:val="001E7255"/>
    <w:rsid w:val="001F14A2"/>
    <w:rsid w:val="001F700D"/>
    <w:rsid w:val="001F7034"/>
    <w:rsid w:val="001F733F"/>
    <w:rsid w:val="00200720"/>
    <w:rsid w:val="002116FE"/>
    <w:rsid w:val="00213877"/>
    <w:rsid w:val="00213BDB"/>
    <w:rsid w:val="002153E2"/>
    <w:rsid w:val="00217238"/>
    <w:rsid w:val="00217BF3"/>
    <w:rsid w:val="00221987"/>
    <w:rsid w:val="00223AFB"/>
    <w:rsid w:val="00225653"/>
    <w:rsid w:val="00227A62"/>
    <w:rsid w:val="00230EAE"/>
    <w:rsid w:val="00231F26"/>
    <w:rsid w:val="00232ED4"/>
    <w:rsid w:val="002337CA"/>
    <w:rsid w:val="00233D49"/>
    <w:rsid w:val="0023404B"/>
    <w:rsid w:val="00234AB0"/>
    <w:rsid w:val="00234B65"/>
    <w:rsid w:val="002354D3"/>
    <w:rsid w:val="002404DC"/>
    <w:rsid w:val="002404F7"/>
    <w:rsid w:val="00244CF8"/>
    <w:rsid w:val="00251605"/>
    <w:rsid w:val="0025682E"/>
    <w:rsid w:val="00262462"/>
    <w:rsid w:val="0026264B"/>
    <w:rsid w:val="00262CFA"/>
    <w:rsid w:val="00267571"/>
    <w:rsid w:val="00271D4C"/>
    <w:rsid w:val="0027308F"/>
    <w:rsid w:val="00275947"/>
    <w:rsid w:val="00275D3D"/>
    <w:rsid w:val="00276B03"/>
    <w:rsid w:val="0027750A"/>
    <w:rsid w:val="00280BAF"/>
    <w:rsid w:val="00282E65"/>
    <w:rsid w:val="00283DDB"/>
    <w:rsid w:val="00286173"/>
    <w:rsid w:val="002869DC"/>
    <w:rsid w:val="00286DEC"/>
    <w:rsid w:val="00294152"/>
    <w:rsid w:val="0029430E"/>
    <w:rsid w:val="00294D46"/>
    <w:rsid w:val="002A409A"/>
    <w:rsid w:val="002A41C3"/>
    <w:rsid w:val="002A4A4D"/>
    <w:rsid w:val="002A7775"/>
    <w:rsid w:val="002A7B24"/>
    <w:rsid w:val="002B2155"/>
    <w:rsid w:val="002B583C"/>
    <w:rsid w:val="002B689E"/>
    <w:rsid w:val="002B7888"/>
    <w:rsid w:val="002C1C7F"/>
    <w:rsid w:val="002C3361"/>
    <w:rsid w:val="002C37C4"/>
    <w:rsid w:val="002C4610"/>
    <w:rsid w:val="002C5396"/>
    <w:rsid w:val="002C6EEE"/>
    <w:rsid w:val="002D2048"/>
    <w:rsid w:val="002D214D"/>
    <w:rsid w:val="002D3CFD"/>
    <w:rsid w:val="002D519D"/>
    <w:rsid w:val="002D63DE"/>
    <w:rsid w:val="002E22BC"/>
    <w:rsid w:val="002E3AFC"/>
    <w:rsid w:val="002E3BEE"/>
    <w:rsid w:val="002E5329"/>
    <w:rsid w:val="002E5723"/>
    <w:rsid w:val="002E6018"/>
    <w:rsid w:val="002E6BA8"/>
    <w:rsid w:val="002E7E37"/>
    <w:rsid w:val="002F01BF"/>
    <w:rsid w:val="002F0CE9"/>
    <w:rsid w:val="002F1A5E"/>
    <w:rsid w:val="002F2645"/>
    <w:rsid w:val="002F36E2"/>
    <w:rsid w:val="00300E1C"/>
    <w:rsid w:val="00302ADB"/>
    <w:rsid w:val="00302D6F"/>
    <w:rsid w:val="00304361"/>
    <w:rsid w:val="00305061"/>
    <w:rsid w:val="0030581C"/>
    <w:rsid w:val="00305E5F"/>
    <w:rsid w:val="00306119"/>
    <w:rsid w:val="00310F95"/>
    <w:rsid w:val="00312439"/>
    <w:rsid w:val="00312E6E"/>
    <w:rsid w:val="00312FF3"/>
    <w:rsid w:val="003138A1"/>
    <w:rsid w:val="00315CB8"/>
    <w:rsid w:val="003179ED"/>
    <w:rsid w:val="00322480"/>
    <w:rsid w:val="00324260"/>
    <w:rsid w:val="00324785"/>
    <w:rsid w:val="00324938"/>
    <w:rsid w:val="00325BC3"/>
    <w:rsid w:val="00332715"/>
    <w:rsid w:val="00332FEB"/>
    <w:rsid w:val="00333AB9"/>
    <w:rsid w:val="00335C69"/>
    <w:rsid w:val="003456BD"/>
    <w:rsid w:val="00345C6D"/>
    <w:rsid w:val="0034765C"/>
    <w:rsid w:val="003543EA"/>
    <w:rsid w:val="003545B2"/>
    <w:rsid w:val="0035521E"/>
    <w:rsid w:val="00355320"/>
    <w:rsid w:val="00355C12"/>
    <w:rsid w:val="003569BD"/>
    <w:rsid w:val="00357FC9"/>
    <w:rsid w:val="003605E7"/>
    <w:rsid w:val="0036135D"/>
    <w:rsid w:val="00365A86"/>
    <w:rsid w:val="003668CF"/>
    <w:rsid w:val="0037559F"/>
    <w:rsid w:val="00375B28"/>
    <w:rsid w:val="0037675E"/>
    <w:rsid w:val="00377E94"/>
    <w:rsid w:val="00381090"/>
    <w:rsid w:val="00385BC3"/>
    <w:rsid w:val="003864F6"/>
    <w:rsid w:val="00390E31"/>
    <w:rsid w:val="00391737"/>
    <w:rsid w:val="0039344D"/>
    <w:rsid w:val="00393638"/>
    <w:rsid w:val="00396A04"/>
    <w:rsid w:val="00397570"/>
    <w:rsid w:val="003A6698"/>
    <w:rsid w:val="003A7570"/>
    <w:rsid w:val="003B02B3"/>
    <w:rsid w:val="003B0C77"/>
    <w:rsid w:val="003B3A2C"/>
    <w:rsid w:val="003B3F0B"/>
    <w:rsid w:val="003B424D"/>
    <w:rsid w:val="003B68CD"/>
    <w:rsid w:val="003C1670"/>
    <w:rsid w:val="003C19BF"/>
    <w:rsid w:val="003C4D24"/>
    <w:rsid w:val="003C6B82"/>
    <w:rsid w:val="003C6D3A"/>
    <w:rsid w:val="003D092D"/>
    <w:rsid w:val="003D4A34"/>
    <w:rsid w:val="003D6235"/>
    <w:rsid w:val="003E080A"/>
    <w:rsid w:val="003E5FF2"/>
    <w:rsid w:val="003F046A"/>
    <w:rsid w:val="003F10F8"/>
    <w:rsid w:val="003F4EA4"/>
    <w:rsid w:val="003F5CF6"/>
    <w:rsid w:val="003F6ACA"/>
    <w:rsid w:val="003F7AF4"/>
    <w:rsid w:val="0040003B"/>
    <w:rsid w:val="004007BE"/>
    <w:rsid w:val="00402A15"/>
    <w:rsid w:val="00405F21"/>
    <w:rsid w:val="00406B07"/>
    <w:rsid w:val="0041039C"/>
    <w:rsid w:val="004162F1"/>
    <w:rsid w:val="0042197D"/>
    <w:rsid w:val="004248D9"/>
    <w:rsid w:val="00425D30"/>
    <w:rsid w:val="00426482"/>
    <w:rsid w:val="004268A6"/>
    <w:rsid w:val="00434D7D"/>
    <w:rsid w:val="004362A6"/>
    <w:rsid w:val="00440136"/>
    <w:rsid w:val="004449A8"/>
    <w:rsid w:val="00445A50"/>
    <w:rsid w:val="00446C51"/>
    <w:rsid w:val="00454D72"/>
    <w:rsid w:val="00455719"/>
    <w:rsid w:val="004561E9"/>
    <w:rsid w:val="004562CD"/>
    <w:rsid w:val="0045656F"/>
    <w:rsid w:val="00460CE3"/>
    <w:rsid w:val="00461DC3"/>
    <w:rsid w:val="00462C37"/>
    <w:rsid w:val="00463434"/>
    <w:rsid w:val="00463E98"/>
    <w:rsid w:val="00464AED"/>
    <w:rsid w:val="0046568A"/>
    <w:rsid w:val="00473382"/>
    <w:rsid w:val="00473DA2"/>
    <w:rsid w:val="00475C30"/>
    <w:rsid w:val="0047738F"/>
    <w:rsid w:val="00477DA1"/>
    <w:rsid w:val="004806BE"/>
    <w:rsid w:val="00481A82"/>
    <w:rsid w:val="00486DF5"/>
    <w:rsid w:val="00492D8F"/>
    <w:rsid w:val="00493464"/>
    <w:rsid w:val="0049586B"/>
    <w:rsid w:val="00495918"/>
    <w:rsid w:val="00495B40"/>
    <w:rsid w:val="004A2289"/>
    <w:rsid w:val="004A26E1"/>
    <w:rsid w:val="004A39EE"/>
    <w:rsid w:val="004A51ED"/>
    <w:rsid w:val="004A6FCC"/>
    <w:rsid w:val="004B13DF"/>
    <w:rsid w:val="004B1759"/>
    <w:rsid w:val="004B1ABD"/>
    <w:rsid w:val="004B23FC"/>
    <w:rsid w:val="004B254E"/>
    <w:rsid w:val="004B64A6"/>
    <w:rsid w:val="004B7CAD"/>
    <w:rsid w:val="004C0503"/>
    <w:rsid w:val="004C07F9"/>
    <w:rsid w:val="004C103A"/>
    <w:rsid w:val="004C1092"/>
    <w:rsid w:val="004C1338"/>
    <w:rsid w:val="004D210B"/>
    <w:rsid w:val="004D279E"/>
    <w:rsid w:val="004D27EE"/>
    <w:rsid w:val="004D5BA3"/>
    <w:rsid w:val="004D6ABC"/>
    <w:rsid w:val="004E1034"/>
    <w:rsid w:val="004E13AF"/>
    <w:rsid w:val="004E40FD"/>
    <w:rsid w:val="004E789F"/>
    <w:rsid w:val="004F0E4B"/>
    <w:rsid w:val="004F1FFD"/>
    <w:rsid w:val="004F521A"/>
    <w:rsid w:val="004F551E"/>
    <w:rsid w:val="005005B8"/>
    <w:rsid w:val="0050109F"/>
    <w:rsid w:val="00505AF3"/>
    <w:rsid w:val="00515920"/>
    <w:rsid w:val="00515AD8"/>
    <w:rsid w:val="00515DE0"/>
    <w:rsid w:val="00520345"/>
    <w:rsid w:val="00520BE3"/>
    <w:rsid w:val="00522A8B"/>
    <w:rsid w:val="0052442F"/>
    <w:rsid w:val="00524BB2"/>
    <w:rsid w:val="00527866"/>
    <w:rsid w:val="00530AC8"/>
    <w:rsid w:val="0053145E"/>
    <w:rsid w:val="0053190B"/>
    <w:rsid w:val="005338D3"/>
    <w:rsid w:val="00533DD2"/>
    <w:rsid w:val="00533E19"/>
    <w:rsid w:val="0053559E"/>
    <w:rsid w:val="00540381"/>
    <w:rsid w:val="00542411"/>
    <w:rsid w:val="00543A0A"/>
    <w:rsid w:val="005444AB"/>
    <w:rsid w:val="00546B5F"/>
    <w:rsid w:val="005514F5"/>
    <w:rsid w:val="00554716"/>
    <w:rsid w:val="00555D3D"/>
    <w:rsid w:val="00561803"/>
    <w:rsid w:val="00562652"/>
    <w:rsid w:val="0056358F"/>
    <w:rsid w:val="005649C0"/>
    <w:rsid w:val="00565752"/>
    <w:rsid w:val="00566969"/>
    <w:rsid w:val="00566EBF"/>
    <w:rsid w:val="00571569"/>
    <w:rsid w:val="00575BCE"/>
    <w:rsid w:val="0057730A"/>
    <w:rsid w:val="00577623"/>
    <w:rsid w:val="00583D6C"/>
    <w:rsid w:val="00584568"/>
    <w:rsid w:val="00584BC8"/>
    <w:rsid w:val="00586890"/>
    <w:rsid w:val="00591469"/>
    <w:rsid w:val="00595C2D"/>
    <w:rsid w:val="0059789A"/>
    <w:rsid w:val="00597910"/>
    <w:rsid w:val="005A133E"/>
    <w:rsid w:val="005A1D6C"/>
    <w:rsid w:val="005A2F37"/>
    <w:rsid w:val="005A2FF2"/>
    <w:rsid w:val="005A47ED"/>
    <w:rsid w:val="005A5A3E"/>
    <w:rsid w:val="005A5D29"/>
    <w:rsid w:val="005B02AB"/>
    <w:rsid w:val="005B17BE"/>
    <w:rsid w:val="005B31F7"/>
    <w:rsid w:val="005B3992"/>
    <w:rsid w:val="005B58FF"/>
    <w:rsid w:val="005B68C3"/>
    <w:rsid w:val="005B716F"/>
    <w:rsid w:val="005C204E"/>
    <w:rsid w:val="005C2F53"/>
    <w:rsid w:val="005C5DD4"/>
    <w:rsid w:val="005D05C7"/>
    <w:rsid w:val="005D33F6"/>
    <w:rsid w:val="005D4320"/>
    <w:rsid w:val="005D4F6E"/>
    <w:rsid w:val="005D66B3"/>
    <w:rsid w:val="005D6B6E"/>
    <w:rsid w:val="005E24DC"/>
    <w:rsid w:val="005E28B9"/>
    <w:rsid w:val="005E318B"/>
    <w:rsid w:val="005E34BD"/>
    <w:rsid w:val="005E494D"/>
    <w:rsid w:val="005E662E"/>
    <w:rsid w:val="005E6BD7"/>
    <w:rsid w:val="005E71B7"/>
    <w:rsid w:val="005F0EF5"/>
    <w:rsid w:val="005F27A0"/>
    <w:rsid w:val="005F2815"/>
    <w:rsid w:val="005F3CF4"/>
    <w:rsid w:val="00601913"/>
    <w:rsid w:val="0060421A"/>
    <w:rsid w:val="00611644"/>
    <w:rsid w:val="00615FE9"/>
    <w:rsid w:val="006174FC"/>
    <w:rsid w:val="0062007D"/>
    <w:rsid w:val="00624E3D"/>
    <w:rsid w:val="006259CC"/>
    <w:rsid w:val="006308CD"/>
    <w:rsid w:val="00634816"/>
    <w:rsid w:val="00634CC1"/>
    <w:rsid w:val="00635197"/>
    <w:rsid w:val="006363AA"/>
    <w:rsid w:val="0063758C"/>
    <w:rsid w:val="00637985"/>
    <w:rsid w:val="00643DFD"/>
    <w:rsid w:val="0064474A"/>
    <w:rsid w:val="006449AD"/>
    <w:rsid w:val="00644DAA"/>
    <w:rsid w:val="00645209"/>
    <w:rsid w:val="00646267"/>
    <w:rsid w:val="006467F1"/>
    <w:rsid w:val="00647401"/>
    <w:rsid w:val="00650169"/>
    <w:rsid w:val="00652918"/>
    <w:rsid w:val="00652E1B"/>
    <w:rsid w:val="00652E45"/>
    <w:rsid w:val="00653F32"/>
    <w:rsid w:val="00656BD4"/>
    <w:rsid w:val="00657250"/>
    <w:rsid w:val="006600DC"/>
    <w:rsid w:val="00660605"/>
    <w:rsid w:val="006622B7"/>
    <w:rsid w:val="00662E0D"/>
    <w:rsid w:val="0066383C"/>
    <w:rsid w:val="0066428B"/>
    <w:rsid w:val="00665BFE"/>
    <w:rsid w:val="00670C79"/>
    <w:rsid w:val="00670DA7"/>
    <w:rsid w:val="00671536"/>
    <w:rsid w:val="0067280E"/>
    <w:rsid w:val="0067373F"/>
    <w:rsid w:val="006737CE"/>
    <w:rsid w:val="00674168"/>
    <w:rsid w:val="00674E7A"/>
    <w:rsid w:val="0067569B"/>
    <w:rsid w:val="00677B92"/>
    <w:rsid w:val="00680184"/>
    <w:rsid w:val="00680196"/>
    <w:rsid w:val="006801F0"/>
    <w:rsid w:val="006803EA"/>
    <w:rsid w:val="006813E4"/>
    <w:rsid w:val="00683D39"/>
    <w:rsid w:val="00693450"/>
    <w:rsid w:val="00696435"/>
    <w:rsid w:val="006964C3"/>
    <w:rsid w:val="006A53C9"/>
    <w:rsid w:val="006B0230"/>
    <w:rsid w:val="006B075E"/>
    <w:rsid w:val="006B0F3D"/>
    <w:rsid w:val="006C1EBB"/>
    <w:rsid w:val="006C3986"/>
    <w:rsid w:val="006C4F78"/>
    <w:rsid w:val="006C63AE"/>
    <w:rsid w:val="006C63C2"/>
    <w:rsid w:val="006C711B"/>
    <w:rsid w:val="006D07D6"/>
    <w:rsid w:val="006D09F8"/>
    <w:rsid w:val="006D37D0"/>
    <w:rsid w:val="006D46B5"/>
    <w:rsid w:val="006D52AD"/>
    <w:rsid w:val="006E1DDD"/>
    <w:rsid w:val="006E48E4"/>
    <w:rsid w:val="006E4FBF"/>
    <w:rsid w:val="006E6287"/>
    <w:rsid w:val="006E718D"/>
    <w:rsid w:val="006E7C08"/>
    <w:rsid w:val="006F2A8A"/>
    <w:rsid w:val="006F2F9D"/>
    <w:rsid w:val="006F350D"/>
    <w:rsid w:val="006F4543"/>
    <w:rsid w:val="006F66B1"/>
    <w:rsid w:val="006F72EC"/>
    <w:rsid w:val="006F7D98"/>
    <w:rsid w:val="00705F15"/>
    <w:rsid w:val="00707949"/>
    <w:rsid w:val="007118D7"/>
    <w:rsid w:val="00713515"/>
    <w:rsid w:val="00720217"/>
    <w:rsid w:val="00721E13"/>
    <w:rsid w:val="00723AC4"/>
    <w:rsid w:val="00723BA7"/>
    <w:rsid w:val="00723E83"/>
    <w:rsid w:val="00724EF9"/>
    <w:rsid w:val="0072598F"/>
    <w:rsid w:val="00725A79"/>
    <w:rsid w:val="007263F0"/>
    <w:rsid w:val="00726D70"/>
    <w:rsid w:val="00727AF1"/>
    <w:rsid w:val="00727BB5"/>
    <w:rsid w:val="007314E7"/>
    <w:rsid w:val="00735154"/>
    <w:rsid w:val="007359E9"/>
    <w:rsid w:val="00736318"/>
    <w:rsid w:val="00741AA7"/>
    <w:rsid w:val="00742BEF"/>
    <w:rsid w:val="007478F2"/>
    <w:rsid w:val="00752B06"/>
    <w:rsid w:val="00757DD1"/>
    <w:rsid w:val="00757F29"/>
    <w:rsid w:val="007600AE"/>
    <w:rsid w:val="00760C9F"/>
    <w:rsid w:val="00763CC1"/>
    <w:rsid w:val="007640CC"/>
    <w:rsid w:val="007642C7"/>
    <w:rsid w:val="00764804"/>
    <w:rsid w:val="007678A9"/>
    <w:rsid w:val="00774611"/>
    <w:rsid w:val="00775875"/>
    <w:rsid w:val="00784848"/>
    <w:rsid w:val="00784A78"/>
    <w:rsid w:val="00786699"/>
    <w:rsid w:val="007872E4"/>
    <w:rsid w:val="00787457"/>
    <w:rsid w:val="00793B14"/>
    <w:rsid w:val="007949E0"/>
    <w:rsid w:val="00795327"/>
    <w:rsid w:val="00797A35"/>
    <w:rsid w:val="007A092D"/>
    <w:rsid w:val="007A20E4"/>
    <w:rsid w:val="007A28A7"/>
    <w:rsid w:val="007A4087"/>
    <w:rsid w:val="007A506B"/>
    <w:rsid w:val="007A5914"/>
    <w:rsid w:val="007A5DF7"/>
    <w:rsid w:val="007B37F8"/>
    <w:rsid w:val="007B5C1D"/>
    <w:rsid w:val="007B66A7"/>
    <w:rsid w:val="007C16BF"/>
    <w:rsid w:val="007C3CB1"/>
    <w:rsid w:val="007D383B"/>
    <w:rsid w:val="007D59C7"/>
    <w:rsid w:val="007D5B0F"/>
    <w:rsid w:val="007D6BE6"/>
    <w:rsid w:val="007E2B3E"/>
    <w:rsid w:val="007E2F46"/>
    <w:rsid w:val="007E315C"/>
    <w:rsid w:val="007E6D8E"/>
    <w:rsid w:val="007E7000"/>
    <w:rsid w:val="007F14F5"/>
    <w:rsid w:val="007F7226"/>
    <w:rsid w:val="0080159B"/>
    <w:rsid w:val="008041B9"/>
    <w:rsid w:val="0080435E"/>
    <w:rsid w:val="00805594"/>
    <w:rsid w:val="00806A0E"/>
    <w:rsid w:val="00810336"/>
    <w:rsid w:val="00812F1A"/>
    <w:rsid w:val="008147DC"/>
    <w:rsid w:val="00820027"/>
    <w:rsid w:val="00820EC8"/>
    <w:rsid w:val="00821135"/>
    <w:rsid w:val="00821A2E"/>
    <w:rsid w:val="00821E21"/>
    <w:rsid w:val="00822951"/>
    <w:rsid w:val="00823B75"/>
    <w:rsid w:val="00823B92"/>
    <w:rsid w:val="00824F0E"/>
    <w:rsid w:val="008259E4"/>
    <w:rsid w:val="00826EED"/>
    <w:rsid w:val="00830CBA"/>
    <w:rsid w:val="00831008"/>
    <w:rsid w:val="00833990"/>
    <w:rsid w:val="00833F5C"/>
    <w:rsid w:val="00834D8E"/>
    <w:rsid w:val="00843606"/>
    <w:rsid w:val="008438F3"/>
    <w:rsid w:val="00843E24"/>
    <w:rsid w:val="0084634B"/>
    <w:rsid w:val="0084657A"/>
    <w:rsid w:val="00847EA6"/>
    <w:rsid w:val="00850946"/>
    <w:rsid w:val="00857F6E"/>
    <w:rsid w:val="00861374"/>
    <w:rsid w:val="008619CE"/>
    <w:rsid w:val="008705E3"/>
    <w:rsid w:val="0087248D"/>
    <w:rsid w:val="00873608"/>
    <w:rsid w:val="00873E3D"/>
    <w:rsid w:val="008752C0"/>
    <w:rsid w:val="00876521"/>
    <w:rsid w:val="00880D07"/>
    <w:rsid w:val="00881537"/>
    <w:rsid w:val="00883375"/>
    <w:rsid w:val="0089074E"/>
    <w:rsid w:val="00890D08"/>
    <w:rsid w:val="00894A0A"/>
    <w:rsid w:val="00894B05"/>
    <w:rsid w:val="008955BC"/>
    <w:rsid w:val="008965DD"/>
    <w:rsid w:val="008975E9"/>
    <w:rsid w:val="008A1CD6"/>
    <w:rsid w:val="008A2683"/>
    <w:rsid w:val="008A2707"/>
    <w:rsid w:val="008A2CEF"/>
    <w:rsid w:val="008A3EC9"/>
    <w:rsid w:val="008A44AD"/>
    <w:rsid w:val="008A45B5"/>
    <w:rsid w:val="008A4B30"/>
    <w:rsid w:val="008A5644"/>
    <w:rsid w:val="008A6377"/>
    <w:rsid w:val="008B186A"/>
    <w:rsid w:val="008B2AA3"/>
    <w:rsid w:val="008B33C1"/>
    <w:rsid w:val="008B707D"/>
    <w:rsid w:val="008C1811"/>
    <w:rsid w:val="008C2535"/>
    <w:rsid w:val="008C2751"/>
    <w:rsid w:val="008C471E"/>
    <w:rsid w:val="008C6322"/>
    <w:rsid w:val="008C7047"/>
    <w:rsid w:val="008D050C"/>
    <w:rsid w:val="008D0751"/>
    <w:rsid w:val="008D3085"/>
    <w:rsid w:val="008D498E"/>
    <w:rsid w:val="008D4B12"/>
    <w:rsid w:val="008E14AF"/>
    <w:rsid w:val="008E1534"/>
    <w:rsid w:val="008E3D03"/>
    <w:rsid w:val="008E43D1"/>
    <w:rsid w:val="008E534F"/>
    <w:rsid w:val="008E56F8"/>
    <w:rsid w:val="008E5DAF"/>
    <w:rsid w:val="008E64CB"/>
    <w:rsid w:val="008F29CC"/>
    <w:rsid w:val="008F2D62"/>
    <w:rsid w:val="008F32CD"/>
    <w:rsid w:val="008F35A0"/>
    <w:rsid w:val="008F41E3"/>
    <w:rsid w:val="008F4914"/>
    <w:rsid w:val="009009A6"/>
    <w:rsid w:val="00901A7B"/>
    <w:rsid w:val="0090277D"/>
    <w:rsid w:val="00905E05"/>
    <w:rsid w:val="009064F7"/>
    <w:rsid w:val="009079AE"/>
    <w:rsid w:val="00907A27"/>
    <w:rsid w:val="00907A95"/>
    <w:rsid w:val="00907AEA"/>
    <w:rsid w:val="00910134"/>
    <w:rsid w:val="00911BC0"/>
    <w:rsid w:val="0091403A"/>
    <w:rsid w:val="00915DA8"/>
    <w:rsid w:val="00916869"/>
    <w:rsid w:val="00916B41"/>
    <w:rsid w:val="009176B0"/>
    <w:rsid w:val="0092117E"/>
    <w:rsid w:val="00922398"/>
    <w:rsid w:val="00923B3E"/>
    <w:rsid w:val="009240BF"/>
    <w:rsid w:val="009276B0"/>
    <w:rsid w:val="00931AF0"/>
    <w:rsid w:val="009359F1"/>
    <w:rsid w:val="00935C77"/>
    <w:rsid w:val="00935D53"/>
    <w:rsid w:val="00936CC4"/>
    <w:rsid w:val="00937743"/>
    <w:rsid w:val="009377E2"/>
    <w:rsid w:val="009404CF"/>
    <w:rsid w:val="00944ABA"/>
    <w:rsid w:val="00947EA6"/>
    <w:rsid w:val="00953180"/>
    <w:rsid w:val="00954311"/>
    <w:rsid w:val="00956192"/>
    <w:rsid w:val="009561EC"/>
    <w:rsid w:val="00965DE3"/>
    <w:rsid w:val="0096680B"/>
    <w:rsid w:val="00966D02"/>
    <w:rsid w:val="009678EA"/>
    <w:rsid w:val="00972192"/>
    <w:rsid w:val="00973B5C"/>
    <w:rsid w:val="00973DEE"/>
    <w:rsid w:val="00975D7D"/>
    <w:rsid w:val="00976515"/>
    <w:rsid w:val="009817E8"/>
    <w:rsid w:val="00981C86"/>
    <w:rsid w:val="00982B95"/>
    <w:rsid w:val="00987A22"/>
    <w:rsid w:val="00990092"/>
    <w:rsid w:val="00990429"/>
    <w:rsid w:val="0099350E"/>
    <w:rsid w:val="00996E8E"/>
    <w:rsid w:val="009A06A1"/>
    <w:rsid w:val="009A6CC6"/>
    <w:rsid w:val="009B23EA"/>
    <w:rsid w:val="009B381E"/>
    <w:rsid w:val="009B71DC"/>
    <w:rsid w:val="009C238D"/>
    <w:rsid w:val="009C25D9"/>
    <w:rsid w:val="009C2B24"/>
    <w:rsid w:val="009C2D1E"/>
    <w:rsid w:val="009C44A4"/>
    <w:rsid w:val="009C5EAE"/>
    <w:rsid w:val="009C7327"/>
    <w:rsid w:val="009D1BA6"/>
    <w:rsid w:val="009D4DAF"/>
    <w:rsid w:val="009D5452"/>
    <w:rsid w:val="009D5A94"/>
    <w:rsid w:val="009E1366"/>
    <w:rsid w:val="009E29C9"/>
    <w:rsid w:val="009E5884"/>
    <w:rsid w:val="009E58ED"/>
    <w:rsid w:val="009E63F1"/>
    <w:rsid w:val="009E6591"/>
    <w:rsid w:val="009F06B0"/>
    <w:rsid w:val="009F22AF"/>
    <w:rsid w:val="009F327C"/>
    <w:rsid w:val="009F366F"/>
    <w:rsid w:val="009F4CAE"/>
    <w:rsid w:val="009F799C"/>
    <w:rsid w:val="00A00346"/>
    <w:rsid w:val="00A07A20"/>
    <w:rsid w:val="00A112E7"/>
    <w:rsid w:val="00A20532"/>
    <w:rsid w:val="00A20814"/>
    <w:rsid w:val="00A225D0"/>
    <w:rsid w:val="00A24686"/>
    <w:rsid w:val="00A25593"/>
    <w:rsid w:val="00A27068"/>
    <w:rsid w:val="00A2708A"/>
    <w:rsid w:val="00A33926"/>
    <w:rsid w:val="00A34796"/>
    <w:rsid w:val="00A35590"/>
    <w:rsid w:val="00A4290C"/>
    <w:rsid w:val="00A42D45"/>
    <w:rsid w:val="00A44D23"/>
    <w:rsid w:val="00A54F6C"/>
    <w:rsid w:val="00A63839"/>
    <w:rsid w:val="00A6445C"/>
    <w:rsid w:val="00A6751F"/>
    <w:rsid w:val="00A70147"/>
    <w:rsid w:val="00A73ACA"/>
    <w:rsid w:val="00A749BF"/>
    <w:rsid w:val="00A74CC6"/>
    <w:rsid w:val="00A76DC3"/>
    <w:rsid w:val="00A80E81"/>
    <w:rsid w:val="00A822B2"/>
    <w:rsid w:val="00A82B71"/>
    <w:rsid w:val="00A83729"/>
    <w:rsid w:val="00A85D7B"/>
    <w:rsid w:val="00A87739"/>
    <w:rsid w:val="00A90503"/>
    <w:rsid w:val="00A93216"/>
    <w:rsid w:val="00A93F34"/>
    <w:rsid w:val="00A96D1B"/>
    <w:rsid w:val="00A97519"/>
    <w:rsid w:val="00A979ED"/>
    <w:rsid w:val="00AA203D"/>
    <w:rsid w:val="00AA279E"/>
    <w:rsid w:val="00AA537E"/>
    <w:rsid w:val="00AA59A0"/>
    <w:rsid w:val="00AA6FD4"/>
    <w:rsid w:val="00AB2920"/>
    <w:rsid w:val="00AC1A4B"/>
    <w:rsid w:val="00AC3642"/>
    <w:rsid w:val="00AD01C2"/>
    <w:rsid w:val="00AD159C"/>
    <w:rsid w:val="00AD4DD2"/>
    <w:rsid w:val="00AE1333"/>
    <w:rsid w:val="00AE7035"/>
    <w:rsid w:val="00AE7757"/>
    <w:rsid w:val="00AF060E"/>
    <w:rsid w:val="00AF2D42"/>
    <w:rsid w:val="00AF572D"/>
    <w:rsid w:val="00AF5EEF"/>
    <w:rsid w:val="00AF79CB"/>
    <w:rsid w:val="00AF7F1E"/>
    <w:rsid w:val="00B01639"/>
    <w:rsid w:val="00B07D81"/>
    <w:rsid w:val="00B166B5"/>
    <w:rsid w:val="00B174D2"/>
    <w:rsid w:val="00B216CF"/>
    <w:rsid w:val="00B21946"/>
    <w:rsid w:val="00B262C8"/>
    <w:rsid w:val="00B26DB6"/>
    <w:rsid w:val="00B3015E"/>
    <w:rsid w:val="00B30D09"/>
    <w:rsid w:val="00B34382"/>
    <w:rsid w:val="00B34C51"/>
    <w:rsid w:val="00B3525C"/>
    <w:rsid w:val="00B36020"/>
    <w:rsid w:val="00B41404"/>
    <w:rsid w:val="00B41EA1"/>
    <w:rsid w:val="00B42A83"/>
    <w:rsid w:val="00B452A3"/>
    <w:rsid w:val="00B505F9"/>
    <w:rsid w:val="00B510BF"/>
    <w:rsid w:val="00B523ED"/>
    <w:rsid w:val="00B5244A"/>
    <w:rsid w:val="00B531AB"/>
    <w:rsid w:val="00B651E4"/>
    <w:rsid w:val="00B66A36"/>
    <w:rsid w:val="00B72438"/>
    <w:rsid w:val="00B74559"/>
    <w:rsid w:val="00B76557"/>
    <w:rsid w:val="00B85489"/>
    <w:rsid w:val="00B87179"/>
    <w:rsid w:val="00B9048A"/>
    <w:rsid w:val="00B906E1"/>
    <w:rsid w:val="00B93B50"/>
    <w:rsid w:val="00B951FF"/>
    <w:rsid w:val="00BA000A"/>
    <w:rsid w:val="00BA0F40"/>
    <w:rsid w:val="00BA118B"/>
    <w:rsid w:val="00BA328B"/>
    <w:rsid w:val="00BA3D5F"/>
    <w:rsid w:val="00BA47F0"/>
    <w:rsid w:val="00BA4E0F"/>
    <w:rsid w:val="00BB0DE5"/>
    <w:rsid w:val="00BB1C7E"/>
    <w:rsid w:val="00BB2E04"/>
    <w:rsid w:val="00BB3000"/>
    <w:rsid w:val="00BB34E3"/>
    <w:rsid w:val="00BB5721"/>
    <w:rsid w:val="00BB69DB"/>
    <w:rsid w:val="00BB6F82"/>
    <w:rsid w:val="00BC2ED4"/>
    <w:rsid w:val="00BC36B3"/>
    <w:rsid w:val="00BD0693"/>
    <w:rsid w:val="00BD08E5"/>
    <w:rsid w:val="00BD0CCE"/>
    <w:rsid w:val="00BD1014"/>
    <w:rsid w:val="00BD396E"/>
    <w:rsid w:val="00BD4914"/>
    <w:rsid w:val="00BD55B7"/>
    <w:rsid w:val="00BD7AF5"/>
    <w:rsid w:val="00BD7F12"/>
    <w:rsid w:val="00BE0572"/>
    <w:rsid w:val="00BE0F0E"/>
    <w:rsid w:val="00BE20C3"/>
    <w:rsid w:val="00BE2331"/>
    <w:rsid w:val="00BE470D"/>
    <w:rsid w:val="00BE4A53"/>
    <w:rsid w:val="00BE7875"/>
    <w:rsid w:val="00BF0642"/>
    <w:rsid w:val="00BF21B1"/>
    <w:rsid w:val="00BF29AC"/>
    <w:rsid w:val="00BF4912"/>
    <w:rsid w:val="00BF4B8F"/>
    <w:rsid w:val="00C000FD"/>
    <w:rsid w:val="00C005BC"/>
    <w:rsid w:val="00C01DF1"/>
    <w:rsid w:val="00C04D83"/>
    <w:rsid w:val="00C1070D"/>
    <w:rsid w:val="00C10B3B"/>
    <w:rsid w:val="00C11ECE"/>
    <w:rsid w:val="00C129DE"/>
    <w:rsid w:val="00C150BB"/>
    <w:rsid w:val="00C16B79"/>
    <w:rsid w:val="00C2099E"/>
    <w:rsid w:val="00C224C0"/>
    <w:rsid w:val="00C22816"/>
    <w:rsid w:val="00C23CF0"/>
    <w:rsid w:val="00C249F4"/>
    <w:rsid w:val="00C31BB5"/>
    <w:rsid w:val="00C34562"/>
    <w:rsid w:val="00C51826"/>
    <w:rsid w:val="00C525CD"/>
    <w:rsid w:val="00C52A04"/>
    <w:rsid w:val="00C52F58"/>
    <w:rsid w:val="00C5468F"/>
    <w:rsid w:val="00C55F9D"/>
    <w:rsid w:val="00C579D5"/>
    <w:rsid w:val="00C57FF1"/>
    <w:rsid w:val="00C60145"/>
    <w:rsid w:val="00C60836"/>
    <w:rsid w:val="00C62223"/>
    <w:rsid w:val="00C7228F"/>
    <w:rsid w:val="00C76128"/>
    <w:rsid w:val="00C82776"/>
    <w:rsid w:val="00C8303E"/>
    <w:rsid w:val="00C83C7F"/>
    <w:rsid w:val="00C84EC9"/>
    <w:rsid w:val="00C85731"/>
    <w:rsid w:val="00C8685C"/>
    <w:rsid w:val="00C87826"/>
    <w:rsid w:val="00C900B9"/>
    <w:rsid w:val="00C9066A"/>
    <w:rsid w:val="00C90AE0"/>
    <w:rsid w:val="00C926AE"/>
    <w:rsid w:val="00C9400D"/>
    <w:rsid w:val="00CA0FE5"/>
    <w:rsid w:val="00CA1B3B"/>
    <w:rsid w:val="00CA560E"/>
    <w:rsid w:val="00CA723F"/>
    <w:rsid w:val="00CB09CE"/>
    <w:rsid w:val="00CB6C17"/>
    <w:rsid w:val="00CB7304"/>
    <w:rsid w:val="00CB78C4"/>
    <w:rsid w:val="00CC0897"/>
    <w:rsid w:val="00CC1CB4"/>
    <w:rsid w:val="00CC3478"/>
    <w:rsid w:val="00CD02AB"/>
    <w:rsid w:val="00CD2EA0"/>
    <w:rsid w:val="00CD330F"/>
    <w:rsid w:val="00CD4123"/>
    <w:rsid w:val="00CD6788"/>
    <w:rsid w:val="00CD681E"/>
    <w:rsid w:val="00CE11F6"/>
    <w:rsid w:val="00CE2716"/>
    <w:rsid w:val="00CE2DFA"/>
    <w:rsid w:val="00CE461E"/>
    <w:rsid w:val="00CE699E"/>
    <w:rsid w:val="00CE7B3A"/>
    <w:rsid w:val="00CF00D7"/>
    <w:rsid w:val="00CF01F6"/>
    <w:rsid w:val="00CF5CDF"/>
    <w:rsid w:val="00CF6DC4"/>
    <w:rsid w:val="00CF77BF"/>
    <w:rsid w:val="00CF7D07"/>
    <w:rsid w:val="00D00BE7"/>
    <w:rsid w:val="00D00E94"/>
    <w:rsid w:val="00D03109"/>
    <w:rsid w:val="00D03A53"/>
    <w:rsid w:val="00D04219"/>
    <w:rsid w:val="00D042B9"/>
    <w:rsid w:val="00D075C8"/>
    <w:rsid w:val="00D100AF"/>
    <w:rsid w:val="00D14823"/>
    <w:rsid w:val="00D17BFC"/>
    <w:rsid w:val="00D24521"/>
    <w:rsid w:val="00D250E4"/>
    <w:rsid w:val="00D27C6F"/>
    <w:rsid w:val="00D30B66"/>
    <w:rsid w:val="00D31842"/>
    <w:rsid w:val="00D31C14"/>
    <w:rsid w:val="00D35098"/>
    <w:rsid w:val="00D43767"/>
    <w:rsid w:val="00D4461C"/>
    <w:rsid w:val="00D478F6"/>
    <w:rsid w:val="00D501A1"/>
    <w:rsid w:val="00D52251"/>
    <w:rsid w:val="00D60512"/>
    <w:rsid w:val="00D60B36"/>
    <w:rsid w:val="00D61D54"/>
    <w:rsid w:val="00D63CCB"/>
    <w:rsid w:val="00D65E59"/>
    <w:rsid w:val="00D7055A"/>
    <w:rsid w:val="00D70A75"/>
    <w:rsid w:val="00D72A31"/>
    <w:rsid w:val="00D73D1F"/>
    <w:rsid w:val="00D7465B"/>
    <w:rsid w:val="00D8203D"/>
    <w:rsid w:val="00D85741"/>
    <w:rsid w:val="00D903E2"/>
    <w:rsid w:val="00D9055C"/>
    <w:rsid w:val="00D90C50"/>
    <w:rsid w:val="00D92F9F"/>
    <w:rsid w:val="00D93260"/>
    <w:rsid w:val="00D934F0"/>
    <w:rsid w:val="00D94754"/>
    <w:rsid w:val="00D94C5D"/>
    <w:rsid w:val="00D95E2C"/>
    <w:rsid w:val="00DA3DF4"/>
    <w:rsid w:val="00DA48DA"/>
    <w:rsid w:val="00DA6976"/>
    <w:rsid w:val="00DA7ECA"/>
    <w:rsid w:val="00DB0169"/>
    <w:rsid w:val="00DB02E7"/>
    <w:rsid w:val="00DB0AC3"/>
    <w:rsid w:val="00DB19FF"/>
    <w:rsid w:val="00DB1F3F"/>
    <w:rsid w:val="00DB2168"/>
    <w:rsid w:val="00DB31BA"/>
    <w:rsid w:val="00DB41EA"/>
    <w:rsid w:val="00DB456B"/>
    <w:rsid w:val="00DB67FA"/>
    <w:rsid w:val="00DB6D2A"/>
    <w:rsid w:val="00DB6E4E"/>
    <w:rsid w:val="00DB715E"/>
    <w:rsid w:val="00DB71DB"/>
    <w:rsid w:val="00DC2152"/>
    <w:rsid w:val="00DC6060"/>
    <w:rsid w:val="00DC611C"/>
    <w:rsid w:val="00DC663A"/>
    <w:rsid w:val="00DC7E22"/>
    <w:rsid w:val="00DD0632"/>
    <w:rsid w:val="00DD2A09"/>
    <w:rsid w:val="00DD31EE"/>
    <w:rsid w:val="00DD3713"/>
    <w:rsid w:val="00DD3B2B"/>
    <w:rsid w:val="00DE7345"/>
    <w:rsid w:val="00DF043F"/>
    <w:rsid w:val="00DF278B"/>
    <w:rsid w:val="00DF3D29"/>
    <w:rsid w:val="00DF6EFD"/>
    <w:rsid w:val="00DF742C"/>
    <w:rsid w:val="00E000E2"/>
    <w:rsid w:val="00E004DB"/>
    <w:rsid w:val="00E005C1"/>
    <w:rsid w:val="00E01B3E"/>
    <w:rsid w:val="00E020B4"/>
    <w:rsid w:val="00E07299"/>
    <w:rsid w:val="00E10987"/>
    <w:rsid w:val="00E12162"/>
    <w:rsid w:val="00E1237D"/>
    <w:rsid w:val="00E1246C"/>
    <w:rsid w:val="00E15335"/>
    <w:rsid w:val="00E15FE2"/>
    <w:rsid w:val="00E17A0A"/>
    <w:rsid w:val="00E20973"/>
    <w:rsid w:val="00E20EAD"/>
    <w:rsid w:val="00E2114F"/>
    <w:rsid w:val="00E231B5"/>
    <w:rsid w:val="00E27D5F"/>
    <w:rsid w:val="00E32F77"/>
    <w:rsid w:val="00E41838"/>
    <w:rsid w:val="00E44A2E"/>
    <w:rsid w:val="00E456B9"/>
    <w:rsid w:val="00E51892"/>
    <w:rsid w:val="00E51C99"/>
    <w:rsid w:val="00E52E82"/>
    <w:rsid w:val="00E541DB"/>
    <w:rsid w:val="00E54F18"/>
    <w:rsid w:val="00E61936"/>
    <w:rsid w:val="00E62BA0"/>
    <w:rsid w:val="00E64002"/>
    <w:rsid w:val="00E65069"/>
    <w:rsid w:val="00E6615D"/>
    <w:rsid w:val="00E661DA"/>
    <w:rsid w:val="00E666A2"/>
    <w:rsid w:val="00E676F8"/>
    <w:rsid w:val="00E6795C"/>
    <w:rsid w:val="00E70CBD"/>
    <w:rsid w:val="00E72D9D"/>
    <w:rsid w:val="00E760AA"/>
    <w:rsid w:val="00E775D3"/>
    <w:rsid w:val="00E806D4"/>
    <w:rsid w:val="00E827E8"/>
    <w:rsid w:val="00E85FC6"/>
    <w:rsid w:val="00E963FB"/>
    <w:rsid w:val="00E975A8"/>
    <w:rsid w:val="00EA0275"/>
    <w:rsid w:val="00EA29A3"/>
    <w:rsid w:val="00EA543D"/>
    <w:rsid w:val="00EA71B1"/>
    <w:rsid w:val="00EB025B"/>
    <w:rsid w:val="00EB198B"/>
    <w:rsid w:val="00EB2240"/>
    <w:rsid w:val="00EC15BB"/>
    <w:rsid w:val="00EC4E93"/>
    <w:rsid w:val="00EC6E0D"/>
    <w:rsid w:val="00ED006E"/>
    <w:rsid w:val="00ED0802"/>
    <w:rsid w:val="00ED4506"/>
    <w:rsid w:val="00ED5D29"/>
    <w:rsid w:val="00ED6F01"/>
    <w:rsid w:val="00EE1F28"/>
    <w:rsid w:val="00EE46DE"/>
    <w:rsid w:val="00EE7541"/>
    <w:rsid w:val="00EE79AE"/>
    <w:rsid w:val="00EF067B"/>
    <w:rsid w:val="00EF0CD0"/>
    <w:rsid w:val="00EF2A2C"/>
    <w:rsid w:val="00EF30E5"/>
    <w:rsid w:val="00EF4272"/>
    <w:rsid w:val="00EF5746"/>
    <w:rsid w:val="00EF587D"/>
    <w:rsid w:val="00EF7A51"/>
    <w:rsid w:val="00F0098C"/>
    <w:rsid w:val="00F03628"/>
    <w:rsid w:val="00F06D25"/>
    <w:rsid w:val="00F1504E"/>
    <w:rsid w:val="00F1512E"/>
    <w:rsid w:val="00F206EA"/>
    <w:rsid w:val="00F232DE"/>
    <w:rsid w:val="00F24977"/>
    <w:rsid w:val="00F24B2C"/>
    <w:rsid w:val="00F26279"/>
    <w:rsid w:val="00F2705F"/>
    <w:rsid w:val="00F27C6C"/>
    <w:rsid w:val="00F33BDF"/>
    <w:rsid w:val="00F3755A"/>
    <w:rsid w:val="00F37A62"/>
    <w:rsid w:val="00F45473"/>
    <w:rsid w:val="00F45A78"/>
    <w:rsid w:val="00F468B8"/>
    <w:rsid w:val="00F470C3"/>
    <w:rsid w:val="00F51A9F"/>
    <w:rsid w:val="00F52D4D"/>
    <w:rsid w:val="00F52E60"/>
    <w:rsid w:val="00F537FA"/>
    <w:rsid w:val="00F618F1"/>
    <w:rsid w:val="00F62A1B"/>
    <w:rsid w:val="00F650D3"/>
    <w:rsid w:val="00F6643C"/>
    <w:rsid w:val="00F7024F"/>
    <w:rsid w:val="00F73667"/>
    <w:rsid w:val="00F73D39"/>
    <w:rsid w:val="00F7454F"/>
    <w:rsid w:val="00F7637B"/>
    <w:rsid w:val="00F76BCF"/>
    <w:rsid w:val="00F77CF6"/>
    <w:rsid w:val="00F8335E"/>
    <w:rsid w:val="00F86559"/>
    <w:rsid w:val="00F87C10"/>
    <w:rsid w:val="00F92280"/>
    <w:rsid w:val="00F941F9"/>
    <w:rsid w:val="00F943CE"/>
    <w:rsid w:val="00F9478D"/>
    <w:rsid w:val="00FA062B"/>
    <w:rsid w:val="00FA0D5C"/>
    <w:rsid w:val="00FA1077"/>
    <w:rsid w:val="00FA21AA"/>
    <w:rsid w:val="00FA47DC"/>
    <w:rsid w:val="00FA6179"/>
    <w:rsid w:val="00FA66DE"/>
    <w:rsid w:val="00FB071A"/>
    <w:rsid w:val="00FB1A16"/>
    <w:rsid w:val="00FB1A1C"/>
    <w:rsid w:val="00FB2692"/>
    <w:rsid w:val="00FB5FAE"/>
    <w:rsid w:val="00FB676B"/>
    <w:rsid w:val="00FB743A"/>
    <w:rsid w:val="00FB75B2"/>
    <w:rsid w:val="00FC1267"/>
    <w:rsid w:val="00FC5120"/>
    <w:rsid w:val="00FC5961"/>
    <w:rsid w:val="00FD0D95"/>
    <w:rsid w:val="00FD5713"/>
    <w:rsid w:val="00FD6CF0"/>
    <w:rsid w:val="00FD7CF9"/>
    <w:rsid w:val="00FE0185"/>
    <w:rsid w:val="00FE39A9"/>
    <w:rsid w:val="00FE4B86"/>
    <w:rsid w:val="00FF1D41"/>
    <w:rsid w:val="00FF2CC0"/>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567"/>
  <w15:docId w15:val="{1DE015DC-AA2F-4BB8-8C5B-D0ED2D4A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7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iPriority w:val="99"/>
    <w:unhideWhenUsed/>
    <w:rsid w:val="00CE7B3A"/>
    <w:rPr>
      <w:sz w:val="20"/>
      <w:szCs w:val="20"/>
    </w:rPr>
  </w:style>
  <w:style w:type="character" w:customStyle="1" w:styleId="CommentTextChar">
    <w:name w:val="Comment Text Char"/>
    <w:basedOn w:val="DefaultParagraphFont"/>
    <w:link w:val="CommentText"/>
    <w:uiPriority w:val="99"/>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unhideWhenUsed/>
    <w:rsid w:val="001B7961"/>
    <w:rPr>
      <w:color w:val="0000FF"/>
      <w:u w:val="single"/>
    </w:rPr>
  </w:style>
  <w:style w:type="character" w:customStyle="1" w:styleId="slgi">
    <w:name w:val="s_lgi"/>
    <w:basedOn w:val="DefaultParagraphFont"/>
    <w:rsid w:val="00EF067B"/>
  </w:style>
  <w:style w:type="paragraph" w:styleId="Revision">
    <w:name w:val="Revision"/>
    <w:hidden/>
    <w:uiPriority w:val="99"/>
    <w:semiHidden/>
    <w:rsid w:val="00E51892"/>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357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61EC"/>
    <w:rPr>
      <w:color w:val="605E5C"/>
      <w:shd w:val="clear" w:color="auto" w:fill="E1DFDD"/>
    </w:rPr>
  </w:style>
  <w:style w:type="paragraph" w:customStyle="1" w:styleId="Default">
    <w:name w:val="Default"/>
    <w:rsid w:val="00406B07"/>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5865">
      <w:bodyDiv w:val="1"/>
      <w:marLeft w:val="0"/>
      <w:marRight w:val="0"/>
      <w:marTop w:val="0"/>
      <w:marBottom w:val="0"/>
      <w:divBdr>
        <w:top w:val="none" w:sz="0" w:space="0" w:color="auto"/>
        <w:left w:val="none" w:sz="0" w:space="0" w:color="auto"/>
        <w:bottom w:val="none" w:sz="0" w:space="0" w:color="auto"/>
        <w:right w:val="none" w:sz="0" w:space="0" w:color="auto"/>
      </w:divBdr>
    </w:div>
    <w:div w:id="168638186">
      <w:bodyDiv w:val="1"/>
      <w:marLeft w:val="0"/>
      <w:marRight w:val="0"/>
      <w:marTop w:val="0"/>
      <w:marBottom w:val="0"/>
      <w:divBdr>
        <w:top w:val="none" w:sz="0" w:space="0" w:color="auto"/>
        <w:left w:val="none" w:sz="0" w:space="0" w:color="auto"/>
        <w:bottom w:val="none" w:sz="0" w:space="0" w:color="auto"/>
        <w:right w:val="none" w:sz="0" w:space="0" w:color="auto"/>
      </w:divBdr>
    </w:div>
    <w:div w:id="186409884">
      <w:bodyDiv w:val="1"/>
      <w:marLeft w:val="0"/>
      <w:marRight w:val="0"/>
      <w:marTop w:val="0"/>
      <w:marBottom w:val="0"/>
      <w:divBdr>
        <w:top w:val="none" w:sz="0" w:space="0" w:color="auto"/>
        <w:left w:val="none" w:sz="0" w:space="0" w:color="auto"/>
        <w:bottom w:val="none" w:sz="0" w:space="0" w:color="auto"/>
        <w:right w:val="none" w:sz="0" w:space="0" w:color="auto"/>
      </w:divBdr>
    </w:div>
    <w:div w:id="196622305">
      <w:bodyDiv w:val="1"/>
      <w:marLeft w:val="0"/>
      <w:marRight w:val="0"/>
      <w:marTop w:val="0"/>
      <w:marBottom w:val="0"/>
      <w:divBdr>
        <w:top w:val="none" w:sz="0" w:space="0" w:color="auto"/>
        <w:left w:val="none" w:sz="0" w:space="0" w:color="auto"/>
        <w:bottom w:val="none" w:sz="0" w:space="0" w:color="auto"/>
        <w:right w:val="none" w:sz="0" w:space="0" w:color="auto"/>
      </w:divBdr>
    </w:div>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274027299">
      <w:bodyDiv w:val="1"/>
      <w:marLeft w:val="0"/>
      <w:marRight w:val="0"/>
      <w:marTop w:val="0"/>
      <w:marBottom w:val="0"/>
      <w:divBdr>
        <w:top w:val="none" w:sz="0" w:space="0" w:color="auto"/>
        <w:left w:val="none" w:sz="0" w:space="0" w:color="auto"/>
        <w:bottom w:val="none" w:sz="0" w:space="0" w:color="auto"/>
        <w:right w:val="none" w:sz="0" w:space="0" w:color="auto"/>
      </w:divBdr>
    </w:div>
    <w:div w:id="341670646">
      <w:bodyDiv w:val="1"/>
      <w:marLeft w:val="0"/>
      <w:marRight w:val="0"/>
      <w:marTop w:val="0"/>
      <w:marBottom w:val="0"/>
      <w:divBdr>
        <w:top w:val="none" w:sz="0" w:space="0" w:color="auto"/>
        <w:left w:val="none" w:sz="0" w:space="0" w:color="auto"/>
        <w:bottom w:val="none" w:sz="0" w:space="0" w:color="auto"/>
        <w:right w:val="none" w:sz="0" w:space="0" w:color="auto"/>
      </w:divBdr>
    </w:div>
    <w:div w:id="373122914">
      <w:bodyDiv w:val="1"/>
      <w:marLeft w:val="0"/>
      <w:marRight w:val="0"/>
      <w:marTop w:val="0"/>
      <w:marBottom w:val="0"/>
      <w:divBdr>
        <w:top w:val="none" w:sz="0" w:space="0" w:color="auto"/>
        <w:left w:val="none" w:sz="0" w:space="0" w:color="auto"/>
        <w:bottom w:val="none" w:sz="0" w:space="0" w:color="auto"/>
        <w:right w:val="none" w:sz="0" w:space="0" w:color="auto"/>
      </w:divBdr>
    </w:div>
    <w:div w:id="398329692">
      <w:bodyDiv w:val="1"/>
      <w:marLeft w:val="0"/>
      <w:marRight w:val="0"/>
      <w:marTop w:val="0"/>
      <w:marBottom w:val="0"/>
      <w:divBdr>
        <w:top w:val="none" w:sz="0" w:space="0" w:color="auto"/>
        <w:left w:val="none" w:sz="0" w:space="0" w:color="auto"/>
        <w:bottom w:val="none" w:sz="0" w:space="0" w:color="auto"/>
        <w:right w:val="none" w:sz="0" w:space="0" w:color="auto"/>
      </w:divBdr>
    </w:div>
    <w:div w:id="435490971">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648753987">
      <w:bodyDiv w:val="1"/>
      <w:marLeft w:val="0"/>
      <w:marRight w:val="0"/>
      <w:marTop w:val="0"/>
      <w:marBottom w:val="0"/>
      <w:divBdr>
        <w:top w:val="none" w:sz="0" w:space="0" w:color="auto"/>
        <w:left w:val="none" w:sz="0" w:space="0" w:color="auto"/>
        <w:bottom w:val="none" w:sz="0" w:space="0" w:color="auto"/>
        <w:right w:val="none" w:sz="0" w:space="0" w:color="auto"/>
      </w:divBdr>
    </w:div>
    <w:div w:id="655841619">
      <w:bodyDiv w:val="1"/>
      <w:marLeft w:val="0"/>
      <w:marRight w:val="0"/>
      <w:marTop w:val="0"/>
      <w:marBottom w:val="0"/>
      <w:divBdr>
        <w:top w:val="none" w:sz="0" w:space="0" w:color="auto"/>
        <w:left w:val="none" w:sz="0" w:space="0" w:color="auto"/>
        <w:bottom w:val="none" w:sz="0" w:space="0" w:color="auto"/>
        <w:right w:val="none" w:sz="0" w:space="0" w:color="auto"/>
      </w:divBdr>
    </w:div>
    <w:div w:id="724794826">
      <w:bodyDiv w:val="1"/>
      <w:marLeft w:val="0"/>
      <w:marRight w:val="0"/>
      <w:marTop w:val="0"/>
      <w:marBottom w:val="0"/>
      <w:divBdr>
        <w:top w:val="none" w:sz="0" w:space="0" w:color="auto"/>
        <w:left w:val="none" w:sz="0" w:space="0" w:color="auto"/>
        <w:bottom w:val="none" w:sz="0" w:space="0" w:color="auto"/>
        <w:right w:val="none" w:sz="0" w:space="0" w:color="auto"/>
      </w:divBdr>
    </w:div>
    <w:div w:id="821700759">
      <w:bodyDiv w:val="1"/>
      <w:marLeft w:val="0"/>
      <w:marRight w:val="0"/>
      <w:marTop w:val="0"/>
      <w:marBottom w:val="0"/>
      <w:divBdr>
        <w:top w:val="none" w:sz="0" w:space="0" w:color="auto"/>
        <w:left w:val="none" w:sz="0" w:space="0" w:color="auto"/>
        <w:bottom w:val="none" w:sz="0" w:space="0" w:color="auto"/>
        <w:right w:val="none" w:sz="0" w:space="0" w:color="auto"/>
      </w:divBdr>
    </w:div>
    <w:div w:id="1022050013">
      <w:bodyDiv w:val="1"/>
      <w:marLeft w:val="0"/>
      <w:marRight w:val="0"/>
      <w:marTop w:val="0"/>
      <w:marBottom w:val="0"/>
      <w:divBdr>
        <w:top w:val="none" w:sz="0" w:space="0" w:color="auto"/>
        <w:left w:val="none" w:sz="0" w:space="0" w:color="auto"/>
        <w:bottom w:val="none" w:sz="0" w:space="0" w:color="auto"/>
        <w:right w:val="none" w:sz="0" w:space="0" w:color="auto"/>
      </w:divBdr>
    </w:div>
    <w:div w:id="1069763157">
      <w:bodyDiv w:val="1"/>
      <w:marLeft w:val="0"/>
      <w:marRight w:val="0"/>
      <w:marTop w:val="0"/>
      <w:marBottom w:val="0"/>
      <w:divBdr>
        <w:top w:val="none" w:sz="0" w:space="0" w:color="auto"/>
        <w:left w:val="none" w:sz="0" w:space="0" w:color="auto"/>
        <w:bottom w:val="none" w:sz="0" w:space="0" w:color="auto"/>
        <w:right w:val="none" w:sz="0" w:space="0" w:color="auto"/>
      </w:divBdr>
    </w:div>
    <w:div w:id="1114708165">
      <w:bodyDiv w:val="1"/>
      <w:marLeft w:val="0"/>
      <w:marRight w:val="0"/>
      <w:marTop w:val="0"/>
      <w:marBottom w:val="0"/>
      <w:divBdr>
        <w:top w:val="none" w:sz="0" w:space="0" w:color="auto"/>
        <w:left w:val="none" w:sz="0" w:space="0" w:color="auto"/>
        <w:bottom w:val="none" w:sz="0" w:space="0" w:color="auto"/>
        <w:right w:val="none" w:sz="0" w:space="0" w:color="auto"/>
      </w:divBdr>
    </w:div>
    <w:div w:id="1135099875">
      <w:bodyDiv w:val="1"/>
      <w:marLeft w:val="0"/>
      <w:marRight w:val="0"/>
      <w:marTop w:val="0"/>
      <w:marBottom w:val="0"/>
      <w:divBdr>
        <w:top w:val="none" w:sz="0" w:space="0" w:color="auto"/>
        <w:left w:val="none" w:sz="0" w:space="0" w:color="auto"/>
        <w:bottom w:val="none" w:sz="0" w:space="0" w:color="auto"/>
        <w:right w:val="none" w:sz="0" w:space="0" w:color="auto"/>
      </w:divBdr>
    </w:div>
    <w:div w:id="1137842082">
      <w:bodyDiv w:val="1"/>
      <w:marLeft w:val="0"/>
      <w:marRight w:val="0"/>
      <w:marTop w:val="0"/>
      <w:marBottom w:val="0"/>
      <w:divBdr>
        <w:top w:val="none" w:sz="0" w:space="0" w:color="auto"/>
        <w:left w:val="none" w:sz="0" w:space="0" w:color="auto"/>
        <w:bottom w:val="none" w:sz="0" w:space="0" w:color="auto"/>
        <w:right w:val="none" w:sz="0" w:space="0" w:color="auto"/>
      </w:divBdr>
    </w:div>
    <w:div w:id="1327518847">
      <w:bodyDiv w:val="1"/>
      <w:marLeft w:val="0"/>
      <w:marRight w:val="0"/>
      <w:marTop w:val="0"/>
      <w:marBottom w:val="0"/>
      <w:divBdr>
        <w:top w:val="none" w:sz="0" w:space="0" w:color="auto"/>
        <w:left w:val="none" w:sz="0" w:space="0" w:color="auto"/>
        <w:bottom w:val="none" w:sz="0" w:space="0" w:color="auto"/>
        <w:right w:val="none" w:sz="0" w:space="0" w:color="auto"/>
      </w:divBdr>
    </w:div>
    <w:div w:id="1413354410">
      <w:bodyDiv w:val="1"/>
      <w:marLeft w:val="0"/>
      <w:marRight w:val="0"/>
      <w:marTop w:val="0"/>
      <w:marBottom w:val="0"/>
      <w:divBdr>
        <w:top w:val="none" w:sz="0" w:space="0" w:color="auto"/>
        <w:left w:val="none" w:sz="0" w:space="0" w:color="auto"/>
        <w:bottom w:val="none" w:sz="0" w:space="0" w:color="auto"/>
        <w:right w:val="none" w:sz="0" w:space="0" w:color="auto"/>
      </w:divBdr>
    </w:div>
    <w:div w:id="1484353612">
      <w:bodyDiv w:val="1"/>
      <w:marLeft w:val="0"/>
      <w:marRight w:val="0"/>
      <w:marTop w:val="0"/>
      <w:marBottom w:val="0"/>
      <w:divBdr>
        <w:top w:val="none" w:sz="0" w:space="0" w:color="auto"/>
        <w:left w:val="none" w:sz="0" w:space="0" w:color="auto"/>
        <w:bottom w:val="none" w:sz="0" w:space="0" w:color="auto"/>
        <w:right w:val="none" w:sz="0" w:space="0" w:color="auto"/>
      </w:divBdr>
    </w:div>
    <w:div w:id="1487282297">
      <w:bodyDiv w:val="1"/>
      <w:marLeft w:val="0"/>
      <w:marRight w:val="0"/>
      <w:marTop w:val="0"/>
      <w:marBottom w:val="0"/>
      <w:divBdr>
        <w:top w:val="none" w:sz="0" w:space="0" w:color="auto"/>
        <w:left w:val="none" w:sz="0" w:space="0" w:color="auto"/>
        <w:bottom w:val="none" w:sz="0" w:space="0" w:color="auto"/>
        <w:right w:val="none" w:sz="0" w:space="0" w:color="auto"/>
      </w:divBdr>
    </w:div>
    <w:div w:id="1576210594">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678727019">
      <w:bodyDiv w:val="1"/>
      <w:marLeft w:val="0"/>
      <w:marRight w:val="0"/>
      <w:marTop w:val="0"/>
      <w:marBottom w:val="0"/>
      <w:divBdr>
        <w:top w:val="none" w:sz="0" w:space="0" w:color="auto"/>
        <w:left w:val="none" w:sz="0" w:space="0" w:color="auto"/>
        <w:bottom w:val="none" w:sz="0" w:space="0" w:color="auto"/>
        <w:right w:val="none" w:sz="0" w:space="0" w:color="auto"/>
      </w:divBdr>
    </w:div>
    <w:div w:id="1678927333">
      <w:bodyDiv w:val="1"/>
      <w:marLeft w:val="0"/>
      <w:marRight w:val="0"/>
      <w:marTop w:val="0"/>
      <w:marBottom w:val="0"/>
      <w:divBdr>
        <w:top w:val="none" w:sz="0" w:space="0" w:color="auto"/>
        <w:left w:val="none" w:sz="0" w:space="0" w:color="auto"/>
        <w:bottom w:val="none" w:sz="0" w:space="0" w:color="auto"/>
        <w:right w:val="none" w:sz="0" w:space="0" w:color="auto"/>
      </w:divBdr>
    </w:div>
    <w:div w:id="1700545194">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1821916945">
      <w:bodyDiv w:val="1"/>
      <w:marLeft w:val="0"/>
      <w:marRight w:val="0"/>
      <w:marTop w:val="0"/>
      <w:marBottom w:val="0"/>
      <w:divBdr>
        <w:top w:val="none" w:sz="0" w:space="0" w:color="auto"/>
        <w:left w:val="none" w:sz="0" w:space="0" w:color="auto"/>
        <w:bottom w:val="none" w:sz="0" w:space="0" w:color="auto"/>
        <w:right w:val="none" w:sz="0" w:space="0" w:color="auto"/>
      </w:divBdr>
    </w:div>
    <w:div w:id="1845515503">
      <w:bodyDiv w:val="1"/>
      <w:marLeft w:val="0"/>
      <w:marRight w:val="0"/>
      <w:marTop w:val="0"/>
      <w:marBottom w:val="0"/>
      <w:divBdr>
        <w:top w:val="none" w:sz="0" w:space="0" w:color="auto"/>
        <w:left w:val="none" w:sz="0" w:space="0" w:color="auto"/>
        <w:bottom w:val="none" w:sz="0" w:space="0" w:color="auto"/>
        <w:right w:val="none" w:sz="0" w:space="0" w:color="auto"/>
      </w:divBdr>
    </w:div>
    <w:div w:id="1915048623">
      <w:bodyDiv w:val="1"/>
      <w:marLeft w:val="0"/>
      <w:marRight w:val="0"/>
      <w:marTop w:val="0"/>
      <w:marBottom w:val="0"/>
      <w:divBdr>
        <w:top w:val="none" w:sz="0" w:space="0" w:color="auto"/>
        <w:left w:val="none" w:sz="0" w:space="0" w:color="auto"/>
        <w:bottom w:val="none" w:sz="0" w:space="0" w:color="auto"/>
        <w:right w:val="none" w:sz="0" w:space="0" w:color="auto"/>
      </w:divBdr>
    </w:div>
    <w:div w:id="20734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ro/ro/guvernul/cabinetul-de-ministri/ministrul-afacerilor-interne-ministru-interimar-al-justitie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89A0-3C80-4DB9-930E-8CA0F1FE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6531</Words>
  <Characters>37230</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IULIANA-MIHAELA CERNAZEANU</dc:creator>
  <cp:lastModifiedBy>Consuela Stegarescu</cp:lastModifiedBy>
  <cp:revision>4</cp:revision>
  <cp:lastPrinted>2021-11-25T10:35:00Z</cp:lastPrinted>
  <dcterms:created xsi:type="dcterms:W3CDTF">2021-12-06T13:32:00Z</dcterms:created>
  <dcterms:modified xsi:type="dcterms:W3CDTF">2021-12-06T13:45:00Z</dcterms:modified>
</cp:coreProperties>
</file>