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979B" w14:textId="77777777" w:rsidR="00026B13" w:rsidRDefault="00026B13" w:rsidP="00312FF3">
      <w:pPr>
        <w:pStyle w:val="Title"/>
        <w:spacing w:line="276" w:lineRule="auto"/>
        <w:rPr>
          <w:sz w:val="24"/>
          <w:szCs w:val="24"/>
        </w:rPr>
      </w:pPr>
    </w:p>
    <w:p w14:paraId="5E4F6C6D" w14:textId="77777777" w:rsidR="004C1092" w:rsidRDefault="004C1092" w:rsidP="00312FF3">
      <w:pPr>
        <w:pStyle w:val="Title"/>
        <w:spacing w:line="276" w:lineRule="auto"/>
        <w:rPr>
          <w:sz w:val="24"/>
          <w:szCs w:val="24"/>
        </w:rPr>
      </w:pPr>
    </w:p>
    <w:p w14:paraId="2BA52A8F" w14:textId="2B743D98" w:rsidR="0025682E" w:rsidRPr="007872E4" w:rsidRDefault="00670C79" w:rsidP="00312FF3">
      <w:pPr>
        <w:pStyle w:val="Title"/>
        <w:spacing w:line="276" w:lineRule="auto"/>
        <w:rPr>
          <w:sz w:val="24"/>
          <w:szCs w:val="24"/>
        </w:rPr>
      </w:pPr>
      <w:r w:rsidRPr="007872E4">
        <w:rPr>
          <w:sz w:val="24"/>
          <w:szCs w:val="24"/>
        </w:rPr>
        <w:t>NOTĂ DE  FUNDAMENTARE</w:t>
      </w:r>
      <w:r w:rsidR="00662E0D" w:rsidRPr="007872E4">
        <w:rPr>
          <w:sz w:val="24"/>
          <w:szCs w:val="24"/>
        </w:rPr>
        <w:t xml:space="preserve"> </w:t>
      </w:r>
    </w:p>
    <w:p w14:paraId="16E1A72E" w14:textId="77777777" w:rsidR="0025682E" w:rsidRPr="007872E4" w:rsidRDefault="0025682E" w:rsidP="00312FF3">
      <w:pPr>
        <w:spacing w:line="276" w:lineRule="auto"/>
      </w:pPr>
    </w:p>
    <w:p w14:paraId="0DDE3CC0" w14:textId="77777777" w:rsidR="004C1092" w:rsidRPr="007872E4" w:rsidRDefault="004C1092" w:rsidP="00312FF3">
      <w:pPr>
        <w:spacing w:line="276" w:lineRule="auto"/>
      </w:pPr>
    </w:p>
    <w:p w14:paraId="21CD5C02" w14:textId="77777777" w:rsidR="004C1092" w:rsidRPr="007872E4" w:rsidRDefault="004C1092" w:rsidP="00312FF3">
      <w:pPr>
        <w:spacing w:line="276" w:lineRule="auto"/>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20BE3" w:rsidRPr="007872E4" w14:paraId="117C71DD" w14:textId="77777777" w:rsidTr="006A5A1B">
        <w:tc>
          <w:tcPr>
            <w:tcW w:w="10206" w:type="dxa"/>
          </w:tcPr>
          <w:p w14:paraId="12BCBC7C" w14:textId="10FA58DA" w:rsidR="00611644" w:rsidRPr="007872E4" w:rsidRDefault="00611644" w:rsidP="00312FF3">
            <w:pPr>
              <w:widowControl w:val="0"/>
              <w:spacing w:line="276" w:lineRule="auto"/>
              <w:jc w:val="both"/>
              <w:rPr>
                <w:lang w:eastAsia="ro-RO"/>
              </w:rPr>
            </w:pPr>
          </w:p>
          <w:p w14:paraId="5A2835A5" w14:textId="34CC468A" w:rsidR="00611644" w:rsidRPr="007872E4" w:rsidRDefault="00D35098" w:rsidP="00312FF3">
            <w:pPr>
              <w:pStyle w:val="Heading6"/>
              <w:spacing w:before="0" w:after="0" w:line="276" w:lineRule="auto"/>
              <w:jc w:val="center"/>
              <w:rPr>
                <w:sz w:val="24"/>
              </w:rPr>
            </w:pPr>
            <w:r w:rsidRPr="007872E4">
              <w:rPr>
                <w:sz w:val="24"/>
              </w:rPr>
              <w:t>Secțiunea</w:t>
            </w:r>
            <w:r w:rsidR="00611644" w:rsidRPr="007872E4">
              <w:rPr>
                <w:sz w:val="24"/>
              </w:rPr>
              <w:t xml:space="preserve"> 1</w:t>
            </w:r>
          </w:p>
          <w:p w14:paraId="19B440B1" w14:textId="63C18D1E" w:rsidR="00611644" w:rsidRPr="007872E4" w:rsidRDefault="00611644" w:rsidP="00312FF3">
            <w:pPr>
              <w:pStyle w:val="Heading6"/>
              <w:spacing w:before="0" w:after="0" w:line="276" w:lineRule="auto"/>
              <w:jc w:val="center"/>
              <w:rPr>
                <w:sz w:val="24"/>
              </w:rPr>
            </w:pPr>
            <w:r w:rsidRPr="007872E4">
              <w:rPr>
                <w:sz w:val="24"/>
              </w:rPr>
              <w:t>Titlul proiectului de act normativ</w:t>
            </w:r>
          </w:p>
          <w:p w14:paraId="134F9650" w14:textId="77777777" w:rsidR="0066428B" w:rsidRPr="007872E4" w:rsidRDefault="0066428B" w:rsidP="00312FF3">
            <w:pPr>
              <w:spacing w:line="276" w:lineRule="auto"/>
            </w:pPr>
          </w:p>
          <w:p w14:paraId="6526F66D" w14:textId="04DD2297" w:rsidR="001A2A6E" w:rsidRPr="007872E4" w:rsidRDefault="007E2B3E" w:rsidP="00312FF3">
            <w:pPr>
              <w:widowControl w:val="0"/>
              <w:spacing w:line="276" w:lineRule="auto"/>
              <w:jc w:val="center"/>
              <w:rPr>
                <w:b/>
                <w:noProof/>
              </w:rPr>
            </w:pPr>
            <w:bookmarkStart w:id="0" w:name="_Hlk55985425"/>
            <w:r w:rsidRPr="007872E4">
              <w:rPr>
                <w:b/>
                <w:lang w:eastAsia="ro-RO"/>
              </w:rPr>
              <w:t xml:space="preserve">Ordonanță de urgență </w:t>
            </w:r>
            <w:bookmarkStart w:id="1" w:name="_Hlk55983684"/>
            <w:r w:rsidR="001A2A6E" w:rsidRPr="007872E4">
              <w:rPr>
                <w:b/>
                <w:noProof/>
              </w:rPr>
              <w:t xml:space="preserve">pentru modificarea și completarea unor acte normative în domeniul gestionării financiare a fondurilor europene și pentru adoptarea unor măsuri privind beneficiarii de fonduri europene </w:t>
            </w:r>
          </w:p>
          <w:bookmarkEnd w:id="0"/>
          <w:bookmarkEnd w:id="1"/>
          <w:p w14:paraId="338F09EC" w14:textId="78C38E37" w:rsidR="00670C79" w:rsidRPr="007872E4" w:rsidRDefault="00670C79" w:rsidP="00312FF3">
            <w:pPr>
              <w:widowControl w:val="0"/>
              <w:spacing w:line="276" w:lineRule="auto"/>
              <w:rPr>
                <w:b/>
                <w:lang w:eastAsia="ro-RO"/>
              </w:rPr>
            </w:pPr>
          </w:p>
        </w:tc>
      </w:tr>
    </w:tbl>
    <w:p w14:paraId="6E28D791" w14:textId="77777777" w:rsidR="00670C79" w:rsidRPr="007872E4" w:rsidRDefault="00670C79" w:rsidP="00312FF3">
      <w:pPr>
        <w:spacing w:line="276" w:lineRule="auto"/>
        <w:rPr>
          <w:lang w:eastAsia="ro-RO"/>
        </w:rPr>
      </w:pPr>
      <w:r w:rsidRPr="007872E4">
        <w:rPr>
          <w:lang w:eastAsia="ro-RO"/>
        </w:rPr>
        <w:t xml:space="preserve"> </w:t>
      </w:r>
    </w:p>
    <w:p w14:paraId="09FF00B9" w14:textId="77777777" w:rsidR="00EE0182" w:rsidRDefault="00670C79" w:rsidP="00312FF3">
      <w:pPr>
        <w:spacing w:line="276" w:lineRule="auto"/>
        <w:rPr>
          <w:b/>
          <w:lang w:eastAsia="ro-RO"/>
        </w:rPr>
      </w:pPr>
      <w:r w:rsidRPr="007872E4">
        <w:rPr>
          <w:b/>
          <w:lang w:eastAsia="ro-RO"/>
        </w:rPr>
        <w:t xml:space="preserve">   </w:t>
      </w:r>
      <w:r w:rsidR="00AA6FD4" w:rsidRPr="007872E4">
        <w:rPr>
          <w:b/>
          <w:lang w:eastAsia="ro-RO"/>
        </w:rPr>
        <w:t xml:space="preserve">  </w:t>
      </w:r>
    </w:p>
    <w:p w14:paraId="23181ACA" w14:textId="3D2FCF2A" w:rsidR="00CB78C4" w:rsidRDefault="007C16BF" w:rsidP="00EE0182">
      <w:pPr>
        <w:spacing w:line="276" w:lineRule="auto"/>
        <w:ind w:firstLine="720"/>
        <w:rPr>
          <w:b/>
          <w:lang w:eastAsia="ro-RO"/>
        </w:rPr>
      </w:pPr>
      <w:r w:rsidRPr="007872E4">
        <w:rPr>
          <w:b/>
          <w:lang w:eastAsia="ro-RO"/>
        </w:rPr>
        <w:t xml:space="preserve"> </w:t>
      </w:r>
      <w:r w:rsidR="00C5468F" w:rsidRPr="007872E4">
        <w:rPr>
          <w:b/>
          <w:lang w:eastAsia="ro-RO"/>
        </w:rPr>
        <w:t>Secțiunea</w:t>
      </w:r>
      <w:r w:rsidR="00670C79" w:rsidRPr="007872E4">
        <w:rPr>
          <w:b/>
          <w:lang w:eastAsia="ro-RO"/>
        </w:rPr>
        <w:t xml:space="preserve"> a 2-a  Motivul emiterii actului normativ</w:t>
      </w:r>
      <w:r w:rsidR="0066428B" w:rsidRPr="007872E4">
        <w:rPr>
          <w:b/>
          <w:lang w:eastAsia="ro-RO"/>
        </w:rPr>
        <w:t xml:space="preserve"> </w:t>
      </w: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938"/>
      </w:tblGrid>
      <w:tr w:rsidR="00520BE3" w:rsidRPr="007872E4" w14:paraId="47D7FD1D" w14:textId="77777777" w:rsidTr="00312FF3">
        <w:trPr>
          <w:trHeight w:val="1270"/>
        </w:trPr>
        <w:tc>
          <w:tcPr>
            <w:tcW w:w="2259" w:type="dxa"/>
          </w:tcPr>
          <w:p w14:paraId="636EB141" w14:textId="1B22BA8F" w:rsidR="00670C79" w:rsidRPr="007872E4" w:rsidRDefault="00670C79" w:rsidP="00C5468F">
            <w:pPr>
              <w:pStyle w:val="BodyText2"/>
              <w:spacing w:after="120" w:line="276" w:lineRule="auto"/>
              <w:rPr>
                <w:sz w:val="24"/>
                <w:lang w:eastAsia="ro-RO"/>
              </w:rPr>
            </w:pPr>
            <w:r w:rsidRPr="007872E4">
              <w:rPr>
                <w:sz w:val="24"/>
                <w:lang w:eastAsia="ro-RO"/>
              </w:rPr>
              <w:t xml:space="preserve">1.Descrierea </w:t>
            </w:r>
            <w:r w:rsidR="000F6105" w:rsidRPr="007872E4">
              <w:rPr>
                <w:sz w:val="24"/>
                <w:lang w:eastAsia="ro-RO"/>
              </w:rPr>
              <w:t>situației</w:t>
            </w:r>
            <w:r w:rsidRPr="007872E4">
              <w:rPr>
                <w:sz w:val="24"/>
                <w:lang w:eastAsia="ro-RO"/>
              </w:rPr>
              <w:t xml:space="preserve"> actuale</w:t>
            </w:r>
          </w:p>
        </w:tc>
        <w:tc>
          <w:tcPr>
            <w:tcW w:w="7938" w:type="dxa"/>
          </w:tcPr>
          <w:p w14:paraId="00BFD7A1" w14:textId="2CBE401C" w:rsidR="00DB0169" w:rsidRPr="007872E4" w:rsidRDefault="00CF00D7" w:rsidP="00C5468F">
            <w:pPr>
              <w:widowControl w:val="0"/>
              <w:spacing w:after="120" w:line="276" w:lineRule="auto"/>
              <w:jc w:val="both"/>
              <w:rPr>
                <w:lang w:eastAsia="ro-RO"/>
              </w:rPr>
            </w:pPr>
            <w:r w:rsidRPr="007872E4">
              <w:rPr>
                <w:lang w:eastAsia="ro-RO"/>
              </w:rPr>
              <w:t>Ordonanța de urgență a Guvernului nr. 40/2015 privind gestionarea financiară a fondurilor europene pentru perioada de programare 2014-2020, aprobată cu modificări și completări prin Legea nr. 105/2016, cu modificările și completările ulterioare,  stabilește cadrul financiar general pentru gestionarea asistenței financiare nerambursabile alocate României din Fondul European de Dezvoltare Regională, Fondul Social European, Fondul de Coeziune și Fondul de ajutor european destinat celor mai defavorizate persoane în perioada de programare 2014-2020, precum și a prefinanțării și cofinanțării aferente acestei asistențe, în vederea asigurării unui management financiar eficient al acestor fonduri.</w:t>
            </w:r>
          </w:p>
          <w:p w14:paraId="2F9B5287" w14:textId="77777777" w:rsidR="00D14823" w:rsidRPr="007872E4" w:rsidRDefault="00D14823" w:rsidP="00C5468F">
            <w:pPr>
              <w:widowControl w:val="0"/>
              <w:spacing w:after="120" w:line="276" w:lineRule="auto"/>
              <w:jc w:val="both"/>
              <w:rPr>
                <w:lang w:eastAsia="ro-RO"/>
              </w:rPr>
            </w:pPr>
            <w:r w:rsidRPr="007872E4">
              <w:rPr>
                <w:lang w:eastAsia="ro-RO"/>
              </w:rPr>
              <w:t>Instrumentul de finanțare Connecting Europe Facility (Mecanismul pentru Interconectarea Europei) – CEF, instituit în baza Regulamentului (UE) 1316/2013 al Parlamentului European şi al Consiliului de instituire a CEF, urmărește să sprijine implementarea acelor proiecte de interes comun care vizează dezvoltarea și construcția unor infrastructuri și servicii noi sau modernizarea infrastructurilor și serviciilor existente în sectoarele transporturilor, telecomunicațiilor și energiei. Aceasta inițiativă comunitară este gestionată centralizat de către Comisia Europeană și Agenţia Executivă pentru Inovare și Reţele (Innovation and Networks Executive Agency - INEA).</w:t>
            </w:r>
          </w:p>
          <w:p w14:paraId="25B8F819" w14:textId="5117CDA0" w:rsidR="00D14823" w:rsidRPr="007872E4" w:rsidRDefault="00D14823" w:rsidP="00C5468F">
            <w:pPr>
              <w:widowControl w:val="0"/>
              <w:spacing w:after="120" w:line="276" w:lineRule="auto"/>
              <w:jc w:val="both"/>
              <w:rPr>
                <w:lang w:eastAsia="ro-RO"/>
              </w:rPr>
            </w:pPr>
            <w:r w:rsidRPr="007872E4">
              <w:rPr>
                <w:lang w:eastAsia="ro-RO"/>
              </w:rPr>
              <w:t>Coordonarea gestionării CEF la nivelul României, pentru sectoarele transport, telecomunicații și energie, este asigurată de către Ministerul Investițiilor și Proiectelor Europene, conform HG nr. 52/2018 privind organizarea şi funcţionarea Ministerului Fondurilor Europene, cu modificările și completările ulterioare, Ministerul Transporturilor și Infrastructurii fiind responsabil cu monitorizarea tehnică și financiară a proiectelor din sectorul de transport.</w:t>
            </w:r>
          </w:p>
          <w:p w14:paraId="1646138A" w14:textId="2F97588F" w:rsidR="003668CF" w:rsidRPr="007872E4" w:rsidRDefault="003668CF" w:rsidP="00C5468F">
            <w:pPr>
              <w:widowControl w:val="0"/>
              <w:spacing w:after="120" w:line="276" w:lineRule="auto"/>
              <w:jc w:val="both"/>
              <w:rPr>
                <w:lang w:val="en-US" w:eastAsia="ro-RO"/>
              </w:rPr>
            </w:pPr>
            <w:r>
              <w:rPr>
                <w:lang w:eastAsia="ro-RO"/>
              </w:rPr>
              <w:t>Având în vedere faptul că :</w:t>
            </w:r>
          </w:p>
          <w:p w14:paraId="1471C419" w14:textId="2930FB73" w:rsidR="004444EE" w:rsidRDefault="004444EE" w:rsidP="00C5468F">
            <w:pPr>
              <w:pStyle w:val="ListParagraph"/>
              <w:widowControl w:val="0"/>
              <w:numPr>
                <w:ilvl w:val="0"/>
                <w:numId w:val="7"/>
              </w:numPr>
              <w:spacing w:after="120" w:line="276" w:lineRule="auto"/>
              <w:contextualSpacing w:val="0"/>
              <w:jc w:val="both"/>
              <w:rPr>
                <w:rFonts w:ascii="Times New Roman" w:eastAsia="Times New Roman" w:hAnsi="Times New Roman" w:cs="Times New Roman"/>
                <w:lang w:eastAsia="ro-RO"/>
              </w:rPr>
            </w:pPr>
            <w:bookmarkStart w:id="2" w:name="_Hlk84059093"/>
            <w:r>
              <w:rPr>
                <w:rFonts w:ascii="Times New Roman" w:eastAsia="Times New Roman" w:hAnsi="Times New Roman" w:cs="Times New Roman"/>
                <w:lang w:eastAsia="ro-RO"/>
              </w:rPr>
              <w:lastRenderedPageBreak/>
              <w:t>proiectele de infrastructura din domeniul transporturilor finantate din CEF au ca beneficiari, in majoritate, organisme care se afla in coordonarea, in subordinea sau sub autoritatea Ministerului Transporturilor</w:t>
            </w:r>
            <w:r w:rsidR="002C15DA">
              <w:rPr>
                <w:rFonts w:ascii="Times New Roman" w:eastAsia="Times New Roman" w:hAnsi="Times New Roman" w:cs="Times New Roman"/>
                <w:lang w:eastAsia="ro-RO"/>
              </w:rPr>
              <w:t xml:space="preserve"> și Infrastructurii</w:t>
            </w:r>
            <w:r w:rsidR="00016127">
              <w:rPr>
                <w:rFonts w:ascii="Times New Roman" w:eastAsia="Times New Roman" w:hAnsi="Times New Roman" w:cs="Times New Roman"/>
                <w:lang w:eastAsia="ro-RO"/>
              </w:rPr>
              <w:t>;</w:t>
            </w:r>
          </w:p>
          <w:p w14:paraId="1256E6BF" w14:textId="15AE4887" w:rsidR="004444EE" w:rsidRDefault="004444EE" w:rsidP="00C5468F">
            <w:pPr>
              <w:pStyle w:val="ListParagraph"/>
              <w:widowControl w:val="0"/>
              <w:numPr>
                <w:ilvl w:val="0"/>
                <w:numId w:val="7"/>
              </w:numPr>
              <w:spacing w:after="120" w:line="276" w:lineRule="auto"/>
              <w:contextualSpacing w:val="0"/>
              <w:jc w:val="both"/>
              <w:rPr>
                <w:rFonts w:ascii="Times New Roman" w:eastAsia="Times New Roman" w:hAnsi="Times New Roman" w:cs="Times New Roman"/>
                <w:lang w:eastAsia="ro-RO"/>
              </w:rPr>
            </w:pPr>
            <w:r w:rsidRPr="004444EE">
              <w:rPr>
                <w:rFonts w:ascii="Times New Roman" w:eastAsia="Times New Roman" w:hAnsi="Times New Roman" w:cs="Times New Roman"/>
                <w:lang w:eastAsia="ro-RO"/>
              </w:rPr>
              <w:t xml:space="preserve">proiectele de infrastructura din domeniul transporturilor </w:t>
            </w:r>
            <w:r>
              <w:rPr>
                <w:rFonts w:ascii="Times New Roman" w:eastAsia="Times New Roman" w:hAnsi="Times New Roman" w:cs="Times New Roman"/>
                <w:lang w:eastAsia="ro-RO"/>
              </w:rPr>
              <w:t>prezinta particularitati in implementare</w:t>
            </w:r>
            <w:r w:rsidR="00016127">
              <w:rPr>
                <w:rFonts w:ascii="Times New Roman" w:eastAsia="Times New Roman" w:hAnsi="Times New Roman" w:cs="Times New Roman"/>
                <w:lang w:eastAsia="ro-RO"/>
              </w:rPr>
              <w:t>, inclusiv necesitatea realizarii de exproprieri,</w:t>
            </w:r>
            <w:r>
              <w:rPr>
                <w:rFonts w:ascii="Times New Roman" w:eastAsia="Times New Roman" w:hAnsi="Times New Roman" w:cs="Times New Roman"/>
                <w:lang w:eastAsia="ro-RO"/>
              </w:rPr>
              <w:t xml:space="preserve"> care</w:t>
            </w:r>
            <w:r w:rsidR="00016127">
              <w:rPr>
                <w:rFonts w:ascii="Times New Roman" w:eastAsia="Times New Roman" w:hAnsi="Times New Roman" w:cs="Times New Roman"/>
                <w:lang w:eastAsia="ro-RO"/>
              </w:rPr>
              <w:t>, pentru derularea eficienta,</w:t>
            </w:r>
            <w:r>
              <w:rPr>
                <w:rFonts w:ascii="Times New Roman" w:eastAsia="Times New Roman" w:hAnsi="Times New Roman" w:cs="Times New Roman"/>
                <w:lang w:eastAsia="ro-RO"/>
              </w:rPr>
              <w:t xml:space="preserve"> conduc la necesitatea </w:t>
            </w:r>
            <w:r w:rsidR="00016127">
              <w:rPr>
                <w:rFonts w:ascii="Times New Roman" w:eastAsia="Times New Roman" w:hAnsi="Times New Roman" w:cs="Times New Roman"/>
                <w:lang w:eastAsia="ro-RO"/>
              </w:rPr>
              <w:t>disponibilitatii intregului buget al proiectului la nivelul unui singur ordonator de credite;</w:t>
            </w:r>
            <w:bookmarkEnd w:id="2"/>
          </w:p>
          <w:p w14:paraId="2C74A474" w14:textId="1C12A529" w:rsidR="00F87C10" w:rsidRPr="007872E4" w:rsidRDefault="00F87C10" w:rsidP="00C5468F">
            <w:pPr>
              <w:pStyle w:val="ListParagraph"/>
              <w:widowControl w:val="0"/>
              <w:numPr>
                <w:ilvl w:val="0"/>
                <w:numId w:val="7"/>
              </w:numPr>
              <w:spacing w:after="120" w:line="276" w:lineRule="auto"/>
              <w:contextualSpacing w:val="0"/>
              <w:jc w:val="both"/>
              <w:rPr>
                <w:rFonts w:ascii="Times New Roman" w:eastAsia="Times New Roman" w:hAnsi="Times New Roman" w:cs="Times New Roman"/>
                <w:lang w:eastAsia="ro-RO"/>
              </w:rPr>
            </w:pPr>
            <w:r w:rsidRPr="007872E4">
              <w:rPr>
                <w:rFonts w:ascii="Times New Roman" w:eastAsia="Times New Roman" w:hAnsi="Times New Roman" w:cs="Times New Roman"/>
                <w:lang w:eastAsia="ro-RO"/>
              </w:rPr>
              <w:t>CNCF CFR SA este beneficiar al proiectelor finanțate în cadrul Mecanismului MIE/CEF</w:t>
            </w:r>
            <w:r w:rsidR="000E0EA4" w:rsidRPr="007872E4">
              <w:rPr>
                <w:rFonts w:ascii="Times New Roman" w:eastAsia="Times New Roman" w:hAnsi="Times New Roman" w:cs="Times New Roman"/>
                <w:lang w:eastAsia="ro-RO"/>
              </w:rPr>
              <w:t>;</w:t>
            </w:r>
          </w:p>
          <w:p w14:paraId="6B523EC4" w14:textId="729310D0" w:rsidR="00F87C10" w:rsidRPr="007872E4" w:rsidRDefault="00F87C10" w:rsidP="00C5468F">
            <w:pPr>
              <w:pStyle w:val="ListParagraph"/>
              <w:widowControl w:val="0"/>
              <w:numPr>
                <w:ilvl w:val="0"/>
                <w:numId w:val="7"/>
              </w:numPr>
              <w:spacing w:after="120" w:line="276" w:lineRule="auto"/>
              <w:contextualSpacing w:val="0"/>
              <w:jc w:val="both"/>
              <w:rPr>
                <w:rFonts w:ascii="Times New Roman" w:eastAsia="Times New Roman" w:hAnsi="Times New Roman" w:cs="Times New Roman"/>
                <w:lang w:eastAsia="ro-RO"/>
              </w:rPr>
            </w:pPr>
            <w:r w:rsidRPr="007872E4">
              <w:rPr>
                <w:rFonts w:ascii="Times New Roman" w:eastAsia="Times New Roman" w:hAnsi="Times New Roman" w:cs="Times New Roman"/>
                <w:lang w:eastAsia="ro-RO"/>
              </w:rPr>
              <w:t xml:space="preserve">CNCF CFR SA este administratorul infrastructurii feroviare publice din România și se află </w:t>
            </w:r>
            <w:r w:rsidR="00181323">
              <w:rPr>
                <w:rFonts w:ascii="Times New Roman" w:eastAsia="Times New Roman" w:hAnsi="Times New Roman" w:cs="Times New Roman"/>
                <w:lang w:eastAsia="ro-RO"/>
              </w:rPr>
              <w:t>sub autoritatea</w:t>
            </w:r>
            <w:r w:rsidRPr="007872E4">
              <w:rPr>
                <w:rFonts w:ascii="Times New Roman" w:eastAsia="Times New Roman" w:hAnsi="Times New Roman" w:cs="Times New Roman"/>
                <w:lang w:eastAsia="ro-RO"/>
              </w:rPr>
              <w:t xml:space="preserve"> Ministerului Transporturilor și Infrastructurii</w:t>
            </w:r>
            <w:r w:rsidR="000E0EA4" w:rsidRPr="007872E4">
              <w:rPr>
                <w:rFonts w:ascii="Times New Roman" w:eastAsia="Times New Roman" w:hAnsi="Times New Roman" w:cs="Times New Roman"/>
                <w:lang w:eastAsia="ro-RO"/>
              </w:rPr>
              <w:t>;</w:t>
            </w:r>
          </w:p>
          <w:p w14:paraId="65023DAC" w14:textId="32B67C92" w:rsidR="003668CF" w:rsidRDefault="003668CF" w:rsidP="00C5468F">
            <w:pPr>
              <w:pStyle w:val="ListParagraph"/>
              <w:widowControl w:val="0"/>
              <w:numPr>
                <w:ilvl w:val="0"/>
                <w:numId w:val="7"/>
              </w:numPr>
              <w:spacing w:after="120" w:line="276" w:lineRule="auto"/>
              <w:contextualSpacing w:val="0"/>
              <w:jc w:val="both"/>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este necesară </w:t>
            </w:r>
            <w:r w:rsidR="00F62A1B" w:rsidRPr="007872E4">
              <w:rPr>
                <w:rFonts w:ascii="Times New Roman" w:eastAsia="Times New Roman" w:hAnsi="Times New Roman" w:cs="Times New Roman"/>
                <w:lang w:eastAsia="ro-RO"/>
              </w:rPr>
              <w:t xml:space="preserve">reflectarea corespunzătoare a sumelor necesare finanțării proiectelor MIE/CEF în bugetul de venituri și cheltuieli al CNCF CFR SA și corelarea acestuia cu bugetul Ministerului Transporturilor și Infrastructurii la titlurile bugetare corespunzătoare în conformitate cu Legea nr. 500/2002 </w:t>
            </w:r>
            <w:r w:rsidR="00F62A1B" w:rsidRPr="007872E4">
              <w:rPr>
                <w:rFonts w:ascii="Times New Roman" w:eastAsia="Times New Roman" w:hAnsi="Times New Roman" w:cs="Times New Roman"/>
                <w:i/>
                <w:lang w:eastAsia="ro-RO"/>
              </w:rPr>
              <w:t>privind finanțele publice</w:t>
            </w:r>
            <w:r w:rsidR="00F62A1B" w:rsidRPr="007872E4">
              <w:rPr>
                <w:rFonts w:ascii="Times New Roman" w:eastAsia="Times New Roman" w:hAnsi="Times New Roman" w:cs="Times New Roman"/>
                <w:lang w:eastAsia="ro-RO"/>
              </w:rPr>
              <w:t>, cu modificările și completările ulterioare</w:t>
            </w:r>
            <w:r>
              <w:rPr>
                <w:rFonts w:ascii="Times New Roman" w:eastAsia="Times New Roman" w:hAnsi="Times New Roman" w:cs="Times New Roman"/>
                <w:lang w:eastAsia="ro-RO"/>
              </w:rPr>
              <w:t>,</w:t>
            </w:r>
          </w:p>
          <w:p w14:paraId="5851D0E3" w14:textId="4433ABD3" w:rsidR="00B3015E" w:rsidRDefault="000E0EA4" w:rsidP="00C5468F">
            <w:pPr>
              <w:pStyle w:val="ListParagraph"/>
              <w:widowControl w:val="0"/>
              <w:numPr>
                <w:ilvl w:val="0"/>
                <w:numId w:val="7"/>
              </w:numPr>
              <w:spacing w:after="120" w:line="276" w:lineRule="auto"/>
              <w:contextualSpacing w:val="0"/>
              <w:jc w:val="both"/>
              <w:rPr>
                <w:rFonts w:ascii="Times New Roman" w:eastAsia="Times New Roman" w:hAnsi="Times New Roman" w:cs="Times New Roman"/>
                <w:lang w:eastAsia="ro-RO"/>
              </w:rPr>
            </w:pPr>
            <w:r w:rsidRPr="007872E4">
              <w:rPr>
                <w:rFonts w:ascii="Times New Roman" w:eastAsia="Times New Roman" w:hAnsi="Times New Roman" w:cs="Times New Roman"/>
                <w:lang w:eastAsia="ro-RO"/>
              </w:rPr>
              <w:t xml:space="preserve"> </w:t>
            </w:r>
            <w:r w:rsidR="003668CF">
              <w:rPr>
                <w:rFonts w:ascii="Times New Roman" w:eastAsia="Times New Roman" w:hAnsi="Times New Roman" w:cs="Times New Roman"/>
                <w:lang w:eastAsia="ro-RO"/>
              </w:rPr>
              <w:t>î</w:t>
            </w:r>
            <w:r w:rsidRPr="007872E4">
              <w:rPr>
                <w:rFonts w:ascii="Times New Roman" w:eastAsia="Times New Roman" w:hAnsi="Times New Roman" w:cs="Times New Roman"/>
                <w:lang w:eastAsia="ro-RO"/>
              </w:rPr>
              <w:t>n prezent, în bugetul Ministerului Transporturilor și Infrastructurii sunt cuprinse numai sumele aferente exproprierilor iar sumelor aferente celorlalte categorii finanțate de către INEA conform Granturilor se regăsesc în bugetul Ministerului Investițiilor și Proiectelor Europene</w:t>
            </w:r>
            <w:r w:rsidR="00515AD8" w:rsidRPr="007872E4">
              <w:rPr>
                <w:rFonts w:ascii="Times New Roman" w:eastAsia="Times New Roman" w:hAnsi="Times New Roman" w:cs="Times New Roman"/>
                <w:lang w:eastAsia="ro-RO"/>
              </w:rPr>
              <w:t>,</w:t>
            </w:r>
          </w:p>
          <w:p w14:paraId="5F5F7D3C" w14:textId="12930EB6" w:rsidR="0009621B" w:rsidRDefault="001A1AE5" w:rsidP="00C5468F">
            <w:pPr>
              <w:widowControl w:val="0"/>
              <w:spacing w:after="120" w:line="276" w:lineRule="auto"/>
              <w:jc w:val="both"/>
              <w:rPr>
                <w:lang w:eastAsia="ro-RO"/>
              </w:rPr>
            </w:pPr>
            <w:r>
              <w:rPr>
                <w:lang w:eastAsia="ro-RO"/>
              </w:rPr>
              <w:t>este necesară</w:t>
            </w:r>
            <w:r w:rsidRPr="007872E4">
              <w:rPr>
                <w:lang w:eastAsia="ro-RO"/>
              </w:rPr>
              <w:t xml:space="preserve"> </w:t>
            </w:r>
            <w:r w:rsidR="00515AD8" w:rsidRPr="007872E4">
              <w:rPr>
                <w:lang w:eastAsia="ro-RO"/>
              </w:rPr>
              <w:t xml:space="preserve">reglementarea faptului că, doar pentru domeniile de transport CEF,  </w:t>
            </w:r>
            <w:r w:rsidR="00757F29" w:rsidRPr="007872E4">
              <w:rPr>
                <w:lang w:eastAsia="ro-RO"/>
              </w:rPr>
              <w:t xml:space="preserve">transferul sumelor necesare cofinanțării României, TVA, cheltuielilor neeligibile și contravaloarea sumelor aferente contribuției UE, care în conformitate cu prevederile acordurilor de finanțare se rambursează după finalizarea proiectului, pentru proiectele finanțate în cadrul Mecanismului pentru Interconectarea Europei </w:t>
            </w:r>
            <w:r w:rsidR="00515AD8" w:rsidRPr="007872E4">
              <w:rPr>
                <w:lang w:eastAsia="ro-RO"/>
              </w:rPr>
              <w:t>se va face prin bugetul Ministerului Transporturilor și Infrastructurii</w:t>
            </w:r>
            <w:r w:rsidR="00757F29" w:rsidRPr="007872E4">
              <w:rPr>
                <w:lang w:eastAsia="ro-RO"/>
              </w:rPr>
              <w:t xml:space="preserve"> și nu prin bugetul Ministerului Investițiilor și Proiectelor Europene cum este în prezent.</w:t>
            </w:r>
          </w:p>
          <w:p w14:paraId="2ABFC838" w14:textId="19489892" w:rsidR="001E708B" w:rsidRPr="00324785" w:rsidRDefault="003668CF" w:rsidP="00C5468F">
            <w:pPr>
              <w:widowControl w:val="0"/>
              <w:spacing w:after="120" w:line="276" w:lineRule="auto"/>
              <w:jc w:val="both"/>
              <w:rPr>
                <w:lang w:val="en-US" w:eastAsia="ro-RO"/>
              </w:rPr>
            </w:pPr>
            <w:r>
              <w:rPr>
                <w:lang w:eastAsia="ro-RO"/>
              </w:rPr>
              <w:t xml:space="preserve">Se impune </w:t>
            </w:r>
            <w:r w:rsidR="008F29CC" w:rsidRPr="00324785">
              <w:rPr>
                <w:lang w:eastAsia="ro-RO"/>
              </w:rPr>
              <w:t>completarea articolului 6</w:t>
            </w:r>
            <w:r w:rsidR="003E5FF2">
              <w:rPr>
                <w:lang w:eastAsia="ro-RO"/>
              </w:rPr>
              <w:t>,</w:t>
            </w:r>
            <w:r w:rsidR="001E708B" w:rsidRPr="00324785">
              <w:rPr>
                <w:lang w:eastAsia="ro-RO"/>
              </w:rPr>
              <w:t xml:space="preserve"> astfel</w:t>
            </w:r>
            <w:r w:rsidR="001E708B" w:rsidRPr="00324785">
              <w:rPr>
                <w:lang w:val="en-US" w:eastAsia="ro-RO"/>
              </w:rPr>
              <w:t>:</w:t>
            </w:r>
          </w:p>
          <w:p w14:paraId="0CED5EDE" w14:textId="341E9A7F" w:rsidR="008F29CC" w:rsidRPr="00823B75" w:rsidRDefault="008F29CC" w:rsidP="00C5468F">
            <w:pPr>
              <w:pStyle w:val="ListParagraph"/>
              <w:widowControl w:val="0"/>
              <w:numPr>
                <w:ilvl w:val="0"/>
                <w:numId w:val="10"/>
              </w:numPr>
              <w:tabs>
                <w:tab w:val="left" w:pos="318"/>
              </w:tabs>
              <w:spacing w:after="120" w:line="276" w:lineRule="auto"/>
              <w:ind w:left="176" w:hanging="141"/>
              <w:contextualSpacing w:val="0"/>
              <w:jc w:val="both"/>
              <w:rPr>
                <w:rFonts w:ascii="Times New Roman" w:hAnsi="Times New Roman" w:cs="Times New Roman"/>
                <w:lang w:eastAsia="ro-RO"/>
              </w:rPr>
            </w:pPr>
            <w:r w:rsidRPr="00823B75">
              <w:rPr>
                <w:rFonts w:ascii="Times New Roman" w:hAnsi="Times New Roman" w:cs="Times New Roman"/>
                <w:lang w:eastAsia="ro-RO"/>
              </w:rPr>
              <w:t xml:space="preserve">cu </w:t>
            </w:r>
            <w:r w:rsidR="00736318">
              <w:rPr>
                <w:rFonts w:ascii="Times New Roman" w:hAnsi="Times New Roman" w:cs="Times New Roman"/>
                <w:lang w:eastAsia="ro-RO"/>
              </w:rPr>
              <w:t xml:space="preserve">un alineat </w:t>
            </w:r>
            <w:r w:rsidR="00652E45" w:rsidRPr="00823B75">
              <w:rPr>
                <w:rFonts w:ascii="Times New Roman" w:hAnsi="Times New Roman" w:cs="Times New Roman"/>
                <w:lang w:eastAsia="ro-RO"/>
              </w:rPr>
              <w:t>care</w:t>
            </w:r>
            <w:r w:rsidR="00736318">
              <w:rPr>
                <w:rFonts w:ascii="Times New Roman" w:hAnsi="Times New Roman" w:cs="Times New Roman"/>
                <w:lang w:eastAsia="ro-RO"/>
              </w:rPr>
              <w:t xml:space="preserve"> </w:t>
            </w:r>
            <w:r w:rsidR="003E5FF2">
              <w:rPr>
                <w:rFonts w:ascii="Times New Roman" w:hAnsi="Times New Roman" w:cs="Times New Roman"/>
                <w:lang w:eastAsia="ro-RO"/>
              </w:rPr>
              <w:t>prevede</w:t>
            </w:r>
            <w:r w:rsidR="00736318">
              <w:rPr>
                <w:rFonts w:ascii="Times New Roman" w:hAnsi="Times New Roman" w:cs="Times New Roman"/>
                <w:lang w:eastAsia="ro-RO"/>
              </w:rPr>
              <w:t xml:space="preserve"> că</w:t>
            </w:r>
            <w:r w:rsidR="00652E45" w:rsidRPr="00823B75">
              <w:rPr>
                <w:rFonts w:ascii="Times New Roman" w:hAnsi="Times New Roman" w:cs="Times New Roman"/>
                <w:lang w:val="en-US" w:eastAsia="ro-RO"/>
              </w:rPr>
              <w:t>:</w:t>
            </w:r>
            <w:r w:rsidR="00652E45" w:rsidRPr="00823B75">
              <w:rPr>
                <w:rFonts w:ascii="Times New Roman" w:hAnsi="Times New Roman" w:cs="Times New Roman"/>
                <w:lang w:eastAsia="ro-RO"/>
              </w:rPr>
              <w:t xml:space="preserve"> </w:t>
            </w:r>
            <w:r w:rsidR="00652E45" w:rsidRPr="00823B75">
              <w:rPr>
                <w:rFonts w:ascii="Times New Roman" w:hAnsi="Times New Roman" w:cs="Times New Roman"/>
                <w:lang w:val="en-US" w:eastAsia="ro-RO"/>
              </w:rPr>
              <w:t>“</w:t>
            </w:r>
            <w:r w:rsidR="00752FA8" w:rsidRPr="00752FA8">
              <w:rPr>
                <w:rFonts w:ascii="Times New Roman" w:hAnsi="Times New Roman" w:cs="Times New Roman"/>
                <w:i/>
                <w:iCs/>
                <w:lang w:eastAsia="ro-RO"/>
              </w:rPr>
              <w:t xml:space="preserve">Sumele necesare finalizării proiectelor din domeniul transporturilor finanțate în cadrul Mecanismului MIE/CEF și preluate integral sau parțial de la </w:t>
            </w:r>
            <w:r w:rsidR="00752FA8" w:rsidRPr="00752FA8">
              <w:rPr>
                <w:rFonts w:ascii="Times New Roman" w:hAnsi="Times New Roman" w:cs="Times New Roman"/>
                <w:i/>
                <w:iCs/>
                <w:lang w:val="en-US" w:eastAsia="ro-RO"/>
              </w:rPr>
              <w:t>Ministerul Investițiilor și Proiectelor Europene</w:t>
            </w:r>
            <w:r w:rsidR="00752FA8" w:rsidRPr="00752FA8">
              <w:rPr>
                <w:rFonts w:ascii="Times New Roman" w:hAnsi="Times New Roman" w:cs="Times New Roman"/>
                <w:i/>
                <w:iCs/>
                <w:lang w:eastAsia="ro-RO"/>
              </w:rPr>
              <w:t xml:space="preserve"> potrivit prevederilor alin (6</w:t>
            </w:r>
            <w:r w:rsidR="00752FA8" w:rsidRPr="00752FA8">
              <w:rPr>
                <w:rFonts w:ascii="Times New Roman" w:hAnsi="Times New Roman" w:cs="Times New Roman"/>
                <w:i/>
                <w:iCs/>
                <w:vertAlign w:val="superscript"/>
                <w:lang w:eastAsia="ro-RO"/>
              </w:rPr>
              <w:t>2</w:t>
            </w:r>
            <w:r w:rsidR="00752FA8" w:rsidRPr="00752FA8">
              <w:rPr>
                <w:rFonts w:ascii="Times New Roman" w:hAnsi="Times New Roman" w:cs="Times New Roman"/>
                <w:i/>
                <w:iCs/>
                <w:lang w:eastAsia="ro-RO"/>
              </w:rPr>
              <w:t>), se asigură de la bugetul de stat, prin bugetul Ministerul Transporturilor şi Infrastructurii, urmând ca rambursarea cheltuielilor eligibile să fie efectuată conform regulilor stabilite de INEA în acordurile de finanțare semnate cu beneficiarii proiectelor.”</w:t>
            </w:r>
            <w:r w:rsidR="00652E45" w:rsidRPr="00823B75">
              <w:rPr>
                <w:rFonts w:ascii="Times New Roman" w:hAnsi="Times New Roman" w:cs="Times New Roman"/>
                <w:i/>
                <w:iCs/>
                <w:lang w:eastAsia="ro-RO"/>
              </w:rPr>
              <w:t xml:space="preserve">”, </w:t>
            </w:r>
            <w:r w:rsidRPr="00823B75">
              <w:rPr>
                <w:rFonts w:ascii="Times New Roman" w:hAnsi="Times New Roman" w:cs="Times New Roman"/>
                <w:lang w:eastAsia="ro-RO"/>
              </w:rPr>
              <w:t>având în vedere următoarele</w:t>
            </w:r>
            <w:r w:rsidRPr="00823B75">
              <w:rPr>
                <w:rFonts w:ascii="Times New Roman" w:hAnsi="Times New Roman" w:cs="Times New Roman"/>
                <w:lang w:val="en-US" w:eastAsia="ro-RO"/>
              </w:rPr>
              <w:t>:</w:t>
            </w:r>
          </w:p>
          <w:p w14:paraId="5897A8BC" w14:textId="47916CF7" w:rsidR="00324785" w:rsidRPr="00324785" w:rsidRDefault="008F29CC" w:rsidP="00C5468F">
            <w:pPr>
              <w:pStyle w:val="ListParagraph"/>
              <w:widowControl w:val="0"/>
              <w:numPr>
                <w:ilvl w:val="0"/>
                <w:numId w:val="7"/>
              </w:numPr>
              <w:spacing w:after="120" w:line="276" w:lineRule="auto"/>
              <w:contextualSpacing w:val="0"/>
              <w:jc w:val="both"/>
              <w:rPr>
                <w:rFonts w:ascii="Times New Roman" w:eastAsia="Times New Roman" w:hAnsi="Times New Roman" w:cs="Times New Roman"/>
                <w:lang w:eastAsia="ro-RO"/>
              </w:rPr>
            </w:pPr>
            <w:r w:rsidRPr="00823B75">
              <w:rPr>
                <w:rFonts w:ascii="Times New Roman" w:eastAsia="Times New Roman" w:hAnsi="Times New Roman" w:cs="Times New Roman"/>
                <w:lang w:eastAsia="ro-RO"/>
              </w:rPr>
              <w:lastRenderedPageBreak/>
              <w:t>asigurarea cheltuielilor pentru finalizarea și închiderea proiectelor dema</w:t>
            </w:r>
            <w:r w:rsidRPr="00324785">
              <w:rPr>
                <w:rFonts w:ascii="Times New Roman" w:eastAsia="Times New Roman" w:hAnsi="Times New Roman" w:cs="Times New Roman"/>
                <w:lang w:eastAsia="ro-RO"/>
              </w:rPr>
              <w:t>rate pe POIM 2014-2020, care au fost preluate ulterior în cadrul CEF 2014-2020</w:t>
            </w:r>
            <w:r w:rsidR="00324785">
              <w:t xml:space="preserve"> </w:t>
            </w:r>
            <w:r w:rsidR="00324785" w:rsidRPr="00324785">
              <w:rPr>
                <w:rFonts w:ascii="Times New Roman" w:eastAsia="Times New Roman" w:hAnsi="Times New Roman" w:cs="Times New Roman"/>
                <w:lang w:eastAsia="ro-RO"/>
              </w:rPr>
              <w:t>apărute în perioada de implementare a contractelor și care nu au fost prevăzute la momentul semnării granturilor, cu încadrarea în valoarea indicatorilor tehnico-economici ai investiției;</w:t>
            </w:r>
          </w:p>
          <w:p w14:paraId="4D312C8E" w14:textId="3C684F62" w:rsidR="00324785" w:rsidRPr="00324785" w:rsidRDefault="00324785" w:rsidP="00C5468F">
            <w:pPr>
              <w:pStyle w:val="ListParagraph"/>
              <w:widowControl w:val="0"/>
              <w:numPr>
                <w:ilvl w:val="0"/>
                <w:numId w:val="7"/>
              </w:numPr>
              <w:spacing w:after="120" w:line="276" w:lineRule="auto"/>
              <w:contextualSpacing w:val="0"/>
              <w:jc w:val="both"/>
              <w:rPr>
                <w:rFonts w:ascii="Times New Roman" w:eastAsia="Times New Roman" w:hAnsi="Times New Roman" w:cs="Times New Roman"/>
                <w:lang w:eastAsia="ro-RO"/>
              </w:rPr>
            </w:pPr>
            <w:r>
              <w:rPr>
                <w:rFonts w:ascii="Times New Roman" w:eastAsia="Times New Roman" w:hAnsi="Times New Roman" w:cs="Times New Roman"/>
                <w:lang w:eastAsia="ro-RO"/>
              </w:rPr>
              <w:t>r</w:t>
            </w:r>
            <w:r w:rsidRPr="00324785">
              <w:rPr>
                <w:rFonts w:ascii="Times New Roman" w:eastAsia="Times New Roman" w:hAnsi="Times New Roman" w:cs="Times New Roman"/>
                <w:lang w:eastAsia="ro-RO"/>
              </w:rPr>
              <w:t>iscul fazării proiectelor majore aflate în implementare, risc apărut din cauza prelungirii duratei de achiziție, contestații succesive, respectiv semnarea contractelor cu o întârziere de   aproximativ 2 ani, față de data inițială estimată, până la asigurarea sursei de finanțare;</w:t>
            </w:r>
          </w:p>
          <w:p w14:paraId="742A5D8E" w14:textId="1519CBD0" w:rsidR="00324785" w:rsidRDefault="00324785" w:rsidP="00C5468F">
            <w:pPr>
              <w:pStyle w:val="ListParagraph"/>
              <w:widowControl w:val="0"/>
              <w:numPr>
                <w:ilvl w:val="0"/>
                <w:numId w:val="7"/>
              </w:numPr>
              <w:tabs>
                <w:tab w:val="left" w:pos="318"/>
              </w:tabs>
              <w:spacing w:after="120" w:line="276" w:lineRule="auto"/>
              <w:contextualSpacing w:val="0"/>
              <w:jc w:val="both"/>
              <w:rPr>
                <w:rFonts w:ascii="Times New Roman" w:eastAsia="Times New Roman" w:hAnsi="Times New Roman" w:cs="Times New Roman"/>
                <w:lang w:eastAsia="ro-RO"/>
              </w:rPr>
            </w:pPr>
            <w:r>
              <w:rPr>
                <w:rFonts w:ascii="Times New Roman" w:eastAsia="Times New Roman" w:hAnsi="Times New Roman" w:cs="Times New Roman"/>
                <w:lang w:eastAsia="ro-RO"/>
              </w:rPr>
              <w:t>e</w:t>
            </w:r>
            <w:r w:rsidRPr="00324785">
              <w:rPr>
                <w:rFonts w:ascii="Times New Roman" w:eastAsia="Times New Roman" w:hAnsi="Times New Roman" w:cs="Times New Roman"/>
                <w:lang w:eastAsia="ro-RO"/>
              </w:rPr>
              <w:t>vitarea unor acțiuni în instanță din partea Antreprenorilor, ce pot conduce la costuri suplimentare, penalități, daune și încetinirea ritmului lucrărilor, datorită neefectuării pl</w:t>
            </w:r>
            <w:r w:rsidR="00736318">
              <w:rPr>
                <w:rFonts w:ascii="Times New Roman" w:eastAsia="Times New Roman" w:hAnsi="Times New Roman" w:cs="Times New Roman"/>
                <w:lang w:eastAsia="ro-RO"/>
              </w:rPr>
              <w:t>ă</w:t>
            </w:r>
            <w:r w:rsidRPr="00324785">
              <w:rPr>
                <w:rFonts w:ascii="Times New Roman" w:eastAsia="Times New Roman" w:hAnsi="Times New Roman" w:cs="Times New Roman"/>
                <w:lang w:eastAsia="ro-RO"/>
              </w:rPr>
              <w:t>ților în termen, care pot conduce la neasigurarea cashflow-urilor necesare, inclusiv până la suspendarea/blocarea lucrărilor</w:t>
            </w:r>
            <w:r w:rsidR="00F5520E">
              <w:rPr>
                <w:rFonts w:ascii="Times New Roman" w:eastAsia="Times New Roman" w:hAnsi="Times New Roman" w:cs="Times New Roman"/>
                <w:lang w:eastAsia="ro-RO"/>
              </w:rPr>
              <w:t>.</w:t>
            </w:r>
          </w:p>
          <w:p w14:paraId="597C511B" w14:textId="4BB9041D" w:rsidR="00D41A0E" w:rsidRPr="00D41A0E" w:rsidRDefault="00D41A0E" w:rsidP="00EE0182">
            <w:pPr>
              <w:pStyle w:val="ListParagraph"/>
              <w:widowControl w:val="0"/>
              <w:tabs>
                <w:tab w:val="left" w:pos="318"/>
              </w:tabs>
              <w:spacing w:after="120" w:line="276" w:lineRule="auto"/>
              <w:ind w:left="176"/>
              <w:contextualSpacing w:val="0"/>
              <w:jc w:val="both"/>
              <w:rPr>
                <w:rFonts w:ascii="Times New Roman" w:eastAsia="Times New Roman" w:hAnsi="Times New Roman" w:cs="Times New Roman"/>
                <w:lang w:eastAsia="ro-RO"/>
              </w:rPr>
            </w:pPr>
            <w:r w:rsidRPr="00D41A0E">
              <w:rPr>
                <w:rFonts w:ascii="Times New Roman" w:eastAsia="Times New Roman" w:hAnsi="Times New Roman" w:cs="Times New Roman"/>
                <w:lang w:eastAsia="ro-RO"/>
              </w:rPr>
              <w:t xml:space="preserve">La nivelul Autorității de Management pentru Programul Operațional Regional, s-a realizat </w:t>
            </w:r>
            <w:r w:rsidRPr="00B17DEF">
              <w:rPr>
                <w:rFonts w:ascii="Times New Roman" w:eastAsia="Times New Roman" w:hAnsi="Times New Roman" w:cs="Times New Roman"/>
                <w:lang w:eastAsia="ro-RO"/>
              </w:rPr>
              <w:t>o analiză</w:t>
            </w:r>
            <w:r w:rsidRPr="00D41A0E">
              <w:rPr>
                <w:rFonts w:ascii="Times New Roman" w:eastAsia="Times New Roman" w:hAnsi="Times New Roman" w:cs="Times New Roman"/>
                <w:lang w:eastAsia="ro-RO"/>
              </w:rPr>
              <w:t xml:space="preserve"> care a avut ca obiect optimizarea fluxurilor financiare la nivelul POR 2014-2020, cu scopul asigurării unui management financiar eficient al fondurilor gestionate și evitarea întârzierilor în efectuarea plăților către beneficiarii de proiecte finanțate în cadrul POR.</w:t>
            </w:r>
          </w:p>
          <w:p w14:paraId="114059B2" w14:textId="77777777" w:rsidR="00D41A0E" w:rsidRPr="00D41A0E" w:rsidRDefault="00D41A0E" w:rsidP="00D41A0E">
            <w:pPr>
              <w:pStyle w:val="ListParagraph"/>
              <w:widowControl w:val="0"/>
              <w:tabs>
                <w:tab w:val="left" w:pos="318"/>
              </w:tabs>
              <w:spacing w:after="120" w:line="276" w:lineRule="auto"/>
              <w:ind w:left="176"/>
              <w:jc w:val="both"/>
              <w:rPr>
                <w:rFonts w:ascii="Times New Roman" w:eastAsia="Times New Roman" w:hAnsi="Times New Roman" w:cs="Times New Roman"/>
                <w:lang w:eastAsia="ro-RO"/>
              </w:rPr>
            </w:pPr>
            <w:r w:rsidRPr="00D41A0E">
              <w:rPr>
                <w:rFonts w:ascii="Times New Roman" w:eastAsia="Times New Roman" w:hAnsi="Times New Roman" w:cs="Times New Roman"/>
                <w:lang w:eastAsia="ro-RO"/>
              </w:rPr>
              <w:t>Pentru optimizarea fluxurilor POR 2014-2020 este necesară introducerea unei valori minime a cererii de rambursare depuse de către beneficiari, cu păstrarea însă a rigorilor impuse de mecanismul de prefinanțare pe de o parte, și de necesitățile asigurării unui ritm susținut de absorbție pe de altă parte.</w:t>
            </w:r>
          </w:p>
          <w:p w14:paraId="2443E0A8" w14:textId="7773B921" w:rsidR="00D41A0E" w:rsidRDefault="00D41A0E" w:rsidP="00D41A0E">
            <w:pPr>
              <w:pStyle w:val="ListParagraph"/>
              <w:widowControl w:val="0"/>
              <w:tabs>
                <w:tab w:val="left" w:pos="318"/>
              </w:tabs>
              <w:spacing w:after="120" w:line="276" w:lineRule="auto"/>
              <w:ind w:left="176"/>
              <w:contextualSpacing w:val="0"/>
              <w:jc w:val="both"/>
              <w:rPr>
                <w:rFonts w:ascii="Times New Roman" w:eastAsia="Times New Roman" w:hAnsi="Times New Roman" w:cs="Times New Roman"/>
                <w:lang w:eastAsia="ro-RO"/>
              </w:rPr>
            </w:pPr>
            <w:r w:rsidRPr="00D41A0E">
              <w:rPr>
                <w:rFonts w:ascii="Times New Roman" w:eastAsia="Times New Roman" w:hAnsi="Times New Roman" w:cs="Times New Roman"/>
                <w:lang w:eastAsia="ro-RO"/>
              </w:rPr>
              <w:t>Analiza a fost efectuată pe ultimii 3 ani de implementare a programului, respectiv 2018-2020. Analiza a evidențiat că, în această perioadă, a fost verificată eligibilitatea cheltuielilor pentru un număr total de 27.902 cereri de rambursare/plată cu o valoare solicitată de 4,54 miliarde de euro. 42% din totalul cererilor verificate, respectiv 12869, reprezintă cereri de plată și de rambursare a căror valoare solicitată a fost mai mică de 200.000 lei. Valoarea totală solicitată a acestor cereri este de 163,64 milioane euro și reprezintă  doar 4,07% din valoarea totală necesară pentru atingerea țintelor de absorbție în perioada 2018-2020.</w:t>
            </w:r>
          </w:p>
          <w:p w14:paraId="2D92259E" w14:textId="5AB9F756" w:rsidR="00E21D75" w:rsidRPr="00823B75" w:rsidRDefault="00E21D75" w:rsidP="00EE0182">
            <w:pPr>
              <w:pStyle w:val="ListParagraph"/>
              <w:widowControl w:val="0"/>
              <w:tabs>
                <w:tab w:val="left" w:pos="318"/>
              </w:tabs>
              <w:spacing w:after="120" w:line="276" w:lineRule="auto"/>
              <w:ind w:left="176"/>
              <w:contextualSpacing w:val="0"/>
              <w:jc w:val="both"/>
              <w:rPr>
                <w:rFonts w:ascii="Times New Roman" w:eastAsia="Times New Roman" w:hAnsi="Times New Roman" w:cs="Times New Roman"/>
                <w:lang w:eastAsia="ro-RO"/>
              </w:rPr>
            </w:pPr>
            <w:r w:rsidRPr="00E21D75">
              <w:rPr>
                <w:rFonts w:ascii="Times New Roman" w:eastAsia="Times New Roman" w:hAnsi="Times New Roman" w:cs="Times New Roman"/>
                <w:lang w:eastAsia="ro-RO"/>
              </w:rPr>
              <w:t>"In conditiile in care procesul de verificare a unei cereri de rambursare/plata presupune aceiasi pasi procedurali, indiferent de valoare facturilor aduse prin cererea respectiva, un volum mai mic de cereri de valoare mai mare ar reduce volumul de munca la nivelul autoritatii de management si organismelor intermediare, dar si la nivelul beneficiarilor, facilitand cresterea ritmului absorbtiei."</w:t>
            </w:r>
          </w:p>
          <w:p w14:paraId="588CFD2A" w14:textId="244E2339" w:rsidR="002F36E2" w:rsidRDefault="00540381" w:rsidP="00C5468F">
            <w:pPr>
              <w:widowControl w:val="0"/>
              <w:spacing w:after="120" w:line="276" w:lineRule="auto"/>
              <w:jc w:val="both"/>
              <w:rPr>
                <w:lang w:eastAsia="ro-RO"/>
              </w:rPr>
            </w:pPr>
            <w:r w:rsidRPr="00324785">
              <w:rPr>
                <w:lang w:eastAsia="ro-RO"/>
              </w:rPr>
              <w:t>Având în vedere actualul context epidemiologic determinat de răspândirea coronavirusului SARS-COV-2,</w:t>
            </w:r>
            <w:r w:rsidRPr="007872E4">
              <w:rPr>
                <w:lang w:eastAsia="ro-RO"/>
              </w:rPr>
              <w:t xml:space="preserve"> care afectează desfășurarea în parametri normali a activității economice și având în vedere </w:t>
            </w:r>
            <w:r w:rsidR="000949D2" w:rsidRPr="007872E4">
              <w:rPr>
                <w:lang w:eastAsia="ro-RO"/>
              </w:rPr>
              <w:t>Legea nr. 136</w:t>
            </w:r>
            <w:r w:rsidR="001A1AE5">
              <w:rPr>
                <w:lang w:eastAsia="ro-RO"/>
              </w:rPr>
              <w:t>/</w:t>
            </w:r>
            <w:r w:rsidR="000949D2" w:rsidRPr="007872E4">
              <w:rPr>
                <w:lang w:eastAsia="ro-RO"/>
              </w:rPr>
              <w:t xml:space="preserve">2020 </w:t>
            </w:r>
            <w:r w:rsidR="000949D2" w:rsidRPr="007872E4">
              <w:rPr>
                <w:i/>
                <w:iCs/>
                <w:lang w:eastAsia="ro-RO"/>
              </w:rPr>
              <w:t xml:space="preserve">privind instituirea unor măsuri în domeniul sănătăţii publice în situaţii de risc epidemiologic şi </w:t>
            </w:r>
            <w:r w:rsidR="000949D2" w:rsidRPr="007872E4">
              <w:rPr>
                <w:i/>
                <w:iCs/>
                <w:lang w:eastAsia="ro-RO"/>
              </w:rPr>
              <w:lastRenderedPageBreak/>
              <w:t>biologic,</w:t>
            </w:r>
            <w:r w:rsidR="000949D2" w:rsidRPr="007872E4">
              <w:t xml:space="preserve"> </w:t>
            </w:r>
            <w:r w:rsidR="000949D2" w:rsidRPr="007872E4">
              <w:rPr>
                <w:lang w:eastAsia="ro-RO"/>
              </w:rPr>
              <w:t>H</w:t>
            </w:r>
            <w:r w:rsidR="0023404B">
              <w:rPr>
                <w:lang w:eastAsia="ro-RO"/>
              </w:rPr>
              <w:t>otărâr</w:t>
            </w:r>
            <w:r w:rsidR="006C6272">
              <w:rPr>
                <w:lang w:eastAsia="ro-RO"/>
              </w:rPr>
              <w:t>ile</w:t>
            </w:r>
            <w:r w:rsidR="0023404B">
              <w:rPr>
                <w:lang w:eastAsia="ro-RO"/>
              </w:rPr>
              <w:t xml:space="preserve"> CNSU</w:t>
            </w:r>
            <w:r w:rsidR="001E11B1">
              <w:rPr>
                <w:lang w:eastAsia="ro-RO"/>
              </w:rPr>
              <w:t xml:space="preserve"> </w:t>
            </w:r>
            <w:r w:rsidR="000949D2" w:rsidRPr="00B17DEF">
              <w:rPr>
                <w:i/>
                <w:iCs/>
                <w:lang w:eastAsia="ro-RO"/>
              </w:rPr>
              <w:t>privind stabilirea unor măsuri suplimentare necesar a fi aplicate pentru prevenirea şi combaterea efectelor pandemiei de COVID-19</w:t>
            </w:r>
            <w:r w:rsidRPr="007872E4">
              <w:rPr>
                <w:lang w:eastAsia="ro-RO"/>
              </w:rPr>
              <w:t>,</w:t>
            </w:r>
            <w:r w:rsidR="006C6272">
              <w:rPr>
                <w:lang w:eastAsia="ro-RO"/>
              </w:rPr>
              <w:t xml:space="preserve"> respectiv aprobarea </w:t>
            </w:r>
            <w:r w:rsidRPr="007872E4">
              <w:rPr>
                <w:lang w:eastAsia="ro-RO"/>
              </w:rPr>
              <w:t xml:space="preserve"> </w:t>
            </w:r>
            <w:r w:rsidR="000949D2" w:rsidRPr="00B17DEF">
              <w:rPr>
                <w:i/>
                <w:iCs/>
                <w:lang w:eastAsia="ro-RO"/>
              </w:rPr>
              <w:t>listei țărilor/zonelor/teritoriilor de risc epidemiologic pentru care se instituie măsura carantinei asupra persoanelor care sosesc în România din acestea</w:t>
            </w:r>
            <w:r w:rsidR="000949D2" w:rsidRPr="006C6272">
              <w:rPr>
                <w:lang w:eastAsia="ro-RO"/>
              </w:rPr>
              <w:t>,</w:t>
            </w:r>
            <w:r w:rsidR="000949D2" w:rsidRPr="007872E4">
              <w:rPr>
                <w:lang w:eastAsia="ro-RO"/>
              </w:rPr>
              <w:t xml:space="preserve"> în contextul pandemiei de COVID-19</w:t>
            </w:r>
            <w:r w:rsidRPr="007872E4">
              <w:rPr>
                <w:lang w:eastAsia="ro-RO"/>
              </w:rPr>
              <w:t xml:space="preserve">,  unitățile administrativ-teritoriale se confruntă cu o diminuare substanțială a bugetelor locale. </w:t>
            </w:r>
            <w:r w:rsidRPr="00C5468F">
              <w:rPr>
                <w:lang w:eastAsia="ro-RO"/>
              </w:rPr>
              <w:t xml:space="preserve">Astfel, </w:t>
            </w:r>
            <w:r w:rsidR="001A1AE5" w:rsidRPr="00C5468F">
              <w:rPr>
                <w:lang w:eastAsia="ro-RO"/>
              </w:rPr>
              <w:t xml:space="preserve">este necesară </w:t>
            </w:r>
            <w:r w:rsidRPr="00C5468F">
              <w:rPr>
                <w:lang w:eastAsia="ro-RO"/>
              </w:rPr>
              <w:t xml:space="preserve">suportarea de la bugetul de stat a cheltuielii cu taxa pe valoare adăugată aferentă categoriilor de cheltuieli </w:t>
            </w:r>
            <w:r w:rsidR="00757F29" w:rsidRPr="00C5468F">
              <w:rPr>
                <w:lang w:eastAsia="ro-RO"/>
              </w:rPr>
              <w:t>eligibile din cadrul proiectelor privind extind</w:t>
            </w:r>
            <w:r w:rsidR="00D250E4" w:rsidRPr="00C5468F">
              <w:rPr>
                <w:lang w:eastAsia="ro-RO"/>
              </w:rPr>
              <w:t xml:space="preserve">erea rețelelor de gaze naturale precum și pentru proiectele  din domeniul creșterii </w:t>
            </w:r>
            <w:r w:rsidR="00C5468F" w:rsidRPr="00C5468F">
              <w:rPr>
                <w:lang w:eastAsia="ro-RO"/>
              </w:rPr>
              <w:t>producției</w:t>
            </w:r>
            <w:r w:rsidR="00D250E4" w:rsidRPr="00C5468F">
              <w:rPr>
                <w:lang w:eastAsia="ro-RO"/>
              </w:rPr>
              <w:t xml:space="preserve"> de energie din resurse regenerabile mai </w:t>
            </w:r>
            <w:r w:rsidR="00C5468F" w:rsidRPr="00C5468F">
              <w:rPr>
                <w:lang w:eastAsia="ro-RO"/>
              </w:rPr>
              <w:t>puțin</w:t>
            </w:r>
            <w:r w:rsidR="00D250E4" w:rsidRPr="00C5468F">
              <w:rPr>
                <w:lang w:eastAsia="ro-RO"/>
              </w:rPr>
              <w:t xml:space="preserve"> exploatate (biomasă, biogaz, geotermal),  a</w:t>
            </w:r>
            <w:r w:rsidR="006E6287" w:rsidRPr="00C5468F">
              <w:rPr>
                <w:lang w:eastAsia="ro-RO"/>
              </w:rPr>
              <w:t>v</w:t>
            </w:r>
            <w:r w:rsidR="00D250E4" w:rsidRPr="00C5468F">
              <w:rPr>
                <w:lang w:eastAsia="ro-RO"/>
              </w:rPr>
              <w:t xml:space="preserve">ând în vedere că beneficiarii acestor proiecte sunt unități administrativ-teritoriale de mici dimensiuni care se confruntă la acest moment cu o lipsă cronică de </w:t>
            </w:r>
            <w:r w:rsidR="00C5468F" w:rsidRPr="00C5468F">
              <w:rPr>
                <w:lang w:eastAsia="ro-RO"/>
              </w:rPr>
              <w:t>resurse</w:t>
            </w:r>
            <w:r w:rsidR="00D250E4" w:rsidRPr="00C5468F">
              <w:rPr>
                <w:lang w:eastAsia="ro-RO"/>
              </w:rPr>
              <w:t xml:space="preserve"> financiare, datorată pe de o parte continuării efectelor negative ale pandemiei de COVID în sectorul economico-social,  cât și creșterii generalizate a prețurilor la carburanți, energie electrică și materiale de construcții.  </w:t>
            </w:r>
            <w:r w:rsidR="002F36E2" w:rsidRPr="00C5468F">
              <w:rPr>
                <w:lang w:eastAsia="ro-RO"/>
              </w:rPr>
              <w:t>Operatorii regionali de apă și canalizare întâmpină greutăți în asigurarea  fluxului de numerar necesar implementării proiectelor finanțate din fonduri europene aferente obiectivului convergență la care se adăugă imposibilitatea de a contracta împrumuturi pe fondul creșterii gradului de îndatorare și a actualului context economic.</w:t>
            </w:r>
          </w:p>
          <w:p w14:paraId="43459583" w14:textId="74AE29F8" w:rsidR="007A20E4" w:rsidRDefault="007A20E4" w:rsidP="00C5468F">
            <w:pPr>
              <w:widowControl w:val="0"/>
              <w:spacing w:after="120" w:line="276" w:lineRule="auto"/>
              <w:jc w:val="both"/>
              <w:rPr>
                <w:lang w:eastAsia="ro-RO"/>
              </w:rPr>
            </w:pPr>
            <w:r>
              <w:rPr>
                <w:lang w:eastAsia="ro-RO"/>
              </w:rPr>
              <w:t xml:space="preserve">Situația economico-financiară a </w:t>
            </w:r>
            <w:r w:rsidRPr="007A20E4">
              <w:rPr>
                <w:lang w:eastAsia="ro-RO"/>
              </w:rPr>
              <w:t>operatori</w:t>
            </w:r>
            <w:r>
              <w:rPr>
                <w:lang w:eastAsia="ro-RO"/>
              </w:rPr>
              <w:t>lor</w:t>
            </w:r>
            <w:r w:rsidRPr="007A20E4">
              <w:rPr>
                <w:lang w:eastAsia="ro-RO"/>
              </w:rPr>
              <w:t xml:space="preserve"> regionali care furnizează/prestează serviciul de alimentare cu apă şi de canalizare pe raza unităților administrativ-teritoriale Timiș, Galați, Alba, Cluj și Sălaj</w:t>
            </w:r>
            <w:r>
              <w:rPr>
                <w:lang w:eastAsia="ro-RO"/>
              </w:rPr>
              <w:t xml:space="preserve"> a fost afectata de Pandemia COVID 19, conducând astfel la reducerea gradului de încasare și creșterea cheltuielilor.</w:t>
            </w:r>
          </w:p>
          <w:p w14:paraId="2167D550" w14:textId="42AB2E4B" w:rsidR="007A20E4" w:rsidRDefault="007A20E4" w:rsidP="00C5468F">
            <w:pPr>
              <w:widowControl w:val="0"/>
              <w:spacing w:after="120" w:line="276" w:lineRule="auto"/>
              <w:jc w:val="both"/>
              <w:rPr>
                <w:lang w:eastAsia="ro-RO"/>
              </w:rPr>
            </w:pPr>
            <w:r>
              <w:rPr>
                <w:lang w:eastAsia="ro-RO"/>
              </w:rPr>
              <w:t>Conform prevederilor art. 72 alin. (2) din cadrul OUG nr.</w:t>
            </w:r>
            <w:r w:rsidR="00642FD5">
              <w:rPr>
                <w:lang w:eastAsia="ro-RO"/>
              </w:rPr>
              <w:t xml:space="preserve"> </w:t>
            </w:r>
            <w:r>
              <w:rPr>
                <w:lang w:eastAsia="ro-RO"/>
              </w:rPr>
              <w:t>70</w:t>
            </w:r>
            <w:r w:rsidR="00310F95">
              <w:rPr>
                <w:lang w:eastAsia="ro-RO"/>
              </w:rPr>
              <w:t>/2020</w:t>
            </w:r>
            <w:r>
              <w:rPr>
                <w:lang w:eastAsia="ro-RO"/>
              </w:rPr>
              <w:t xml:space="preserve"> privind reglementarea unor măsuri, începând cu data de 15 mai 2020, în contextul situației epidemiologice determinate de răspândirea coronavirusului SARS-CoV-2, pentru prelungirea unor termene, pentru modificarea si completarea Legii nr. 227/2015 privind Codul fiscal, a Legii educației naționale nr. 1/2011, precum și a altor acte normative:</w:t>
            </w:r>
          </w:p>
          <w:p w14:paraId="6ADE2E5B" w14:textId="3A6DB9EE" w:rsidR="007A20E4" w:rsidRDefault="007A20E4" w:rsidP="00C5468F">
            <w:pPr>
              <w:widowControl w:val="0"/>
              <w:spacing w:after="120" w:line="276" w:lineRule="auto"/>
              <w:jc w:val="both"/>
              <w:rPr>
                <w:lang w:eastAsia="ro-RO"/>
              </w:rPr>
            </w:pPr>
            <w:r>
              <w:rPr>
                <w:lang w:eastAsia="ro-RO"/>
              </w:rPr>
              <w:t xml:space="preserve">  [...] (2) Pe perioada st</w:t>
            </w:r>
            <w:r w:rsidR="002F0CE9">
              <w:rPr>
                <w:lang w:eastAsia="ro-RO"/>
              </w:rPr>
              <w:t>ă</w:t>
            </w:r>
            <w:r>
              <w:rPr>
                <w:lang w:eastAsia="ro-RO"/>
              </w:rPr>
              <w:t>rii de alert</w:t>
            </w:r>
            <w:r w:rsidR="002F0CE9">
              <w:rPr>
                <w:lang w:eastAsia="ro-RO"/>
              </w:rPr>
              <w:t>ă</w:t>
            </w:r>
            <w:r>
              <w:rPr>
                <w:lang w:eastAsia="ro-RO"/>
              </w:rPr>
              <w:t>, operatorii de ap</w:t>
            </w:r>
            <w:r w:rsidR="002F0CE9">
              <w:rPr>
                <w:lang w:eastAsia="ro-RO"/>
              </w:rPr>
              <w:t>ă</w:t>
            </w:r>
            <w:r>
              <w:rPr>
                <w:lang w:eastAsia="ro-RO"/>
              </w:rPr>
              <w:t xml:space="preserve">, canal </w:t>
            </w:r>
            <w:r w:rsidR="002F0CE9">
              <w:rPr>
                <w:lang w:eastAsia="ro-RO"/>
              </w:rPr>
              <w:t>ș</w:t>
            </w:r>
            <w:r>
              <w:rPr>
                <w:lang w:eastAsia="ro-RO"/>
              </w:rPr>
              <w:t>i salubritate asigur</w:t>
            </w:r>
            <w:r w:rsidR="002F0CE9">
              <w:rPr>
                <w:lang w:eastAsia="ro-RO"/>
              </w:rPr>
              <w:t>ă</w:t>
            </w:r>
            <w:r>
              <w:rPr>
                <w:lang w:eastAsia="ro-RO"/>
              </w:rPr>
              <w:t xml:space="preserve"> continuitatea furniz</w:t>
            </w:r>
            <w:r w:rsidR="002F0CE9">
              <w:rPr>
                <w:lang w:eastAsia="ro-RO"/>
              </w:rPr>
              <w:t>ării</w:t>
            </w:r>
            <w:r>
              <w:rPr>
                <w:lang w:eastAsia="ro-RO"/>
              </w:rPr>
              <w:t xml:space="preserve"> serviciilor de utilit</w:t>
            </w:r>
            <w:r w:rsidR="002F0CE9">
              <w:rPr>
                <w:lang w:eastAsia="ro-RO"/>
              </w:rPr>
              <w:t>ăț</w:t>
            </w:r>
            <w:r>
              <w:rPr>
                <w:lang w:eastAsia="ro-RO"/>
              </w:rPr>
              <w:t xml:space="preserve">i respective, iar </w:t>
            </w:r>
            <w:r w:rsidR="002F0CE9">
              <w:rPr>
                <w:lang w:eastAsia="ro-RO"/>
              </w:rPr>
              <w:t>î</w:t>
            </w:r>
            <w:r>
              <w:rPr>
                <w:lang w:eastAsia="ro-RO"/>
              </w:rPr>
              <w:t>n situa</w:t>
            </w:r>
            <w:r w:rsidR="002F0CE9">
              <w:rPr>
                <w:lang w:eastAsia="ro-RO"/>
              </w:rPr>
              <w:t>ț</w:t>
            </w:r>
            <w:r>
              <w:rPr>
                <w:lang w:eastAsia="ro-RO"/>
              </w:rPr>
              <w:t xml:space="preserve">ia </w:t>
            </w:r>
            <w:r w:rsidR="002F0CE9">
              <w:rPr>
                <w:lang w:eastAsia="ro-RO"/>
              </w:rPr>
              <w:t>î</w:t>
            </w:r>
            <w:r>
              <w:rPr>
                <w:lang w:eastAsia="ro-RO"/>
              </w:rPr>
              <w:t>n care este incident un motiv de debran</w:t>
            </w:r>
            <w:r w:rsidR="002F0CE9">
              <w:rPr>
                <w:lang w:eastAsia="ro-RO"/>
              </w:rPr>
              <w:t>ș</w:t>
            </w:r>
            <w:r>
              <w:rPr>
                <w:lang w:eastAsia="ro-RO"/>
              </w:rPr>
              <w:t>are/deconectare, am</w:t>
            </w:r>
            <w:r w:rsidR="002F0CE9">
              <w:rPr>
                <w:lang w:eastAsia="ro-RO"/>
              </w:rPr>
              <w:t>â</w:t>
            </w:r>
            <w:r>
              <w:rPr>
                <w:lang w:eastAsia="ro-RO"/>
              </w:rPr>
              <w:t>n</w:t>
            </w:r>
            <w:r w:rsidR="002F0CE9">
              <w:rPr>
                <w:lang w:eastAsia="ro-RO"/>
              </w:rPr>
              <w:t>ă</w:t>
            </w:r>
            <w:r>
              <w:rPr>
                <w:lang w:eastAsia="ro-RO"/>
              </w:rPr>
              <w:t xml:space="preserve"> efectuarea acestei opera</w:t>
            </w:r>
            <w:r w:rsidR="002F0CE9">
              <w:rPr>
                <w:lang w:eastAsia="ro-RO"/>
              </w:rPr>
              <w:t>ț</w:t>
            </w:r>
            <w:r>
              <w:rPr>
                <w:lang w:eastAsia="ro-RO"/>
              </w:rPr>
              <w:t>iuni p</w:t>
            </w:r>
            <w:r w:rsidR="002F0CE9">
              <w:rPr>
                <w:lang w:eastAsia="ro-RO"/>
              </w:rPr>
              <w:t>â</w:t>
            </w:r>
            <w:r>
              <w:rPr>
                <w:lang w:eastAsia="ro-RO"/>
              </w:rPr>
              <w:t>n</w:t>
            </w:r>
            <w:r w:rsidR="002F0CE9">
              <w:rPr>
                <w:lang w:eastAsia="ro-RO"/>
              </w:rPr>
              <w:t>ă</w:t>
            </w:r>
            <w:r>
              <w:rPr>
                <w:lang w:eastAsia="ro-RO"/>
              </w:rPr>
              <w:t xml:space="preserve"> la </w:t>
            </w:r>
            <w:r w:rsidR="002F0CE9">
              <w:rPr>
                <w:lang w:eastAsia="ro-RO"/>
              </w:rPr>
              <w:t>î</w:t>
            </w:r>
            <w:r>
              <w:rPr>
                <w:lang w:eastAsia="ro-RO"/>
              </w:rPr>
              <w:t>ncetarea st</w:t>
            </w:r>
            <w:r w:rsidR="002F0CE9">
              <w:rPr>
                <w:lang w:eastAsia="ro-RO"/>
              </w:rPr>
              <w:t>ă</w:t>
            </w:r>
            <w:r>
              <w:rPr>
                <w:lang w:eastAsia="ro-RO"/>
              </w:rPr>
              <w:t>rii de alert</w:t>
            </w:r>
            <w:r w:rsidR="002F0CE9">
              <w:rPr>
                <w:lang w:eastAsia="ro-RO"/>
              </w:rPr>
              <w:t>ă</w:t>
            </w:r>
            <w:r>
              <w:rPr>
                <w:lang w:eastAsia="ro-RO"/>
              </w:rPr>
              <w:t>.”</w:t>
            </w:r>
          </w:p>
          <w:p w14:paraId="2636A0F0" w14:textId="3667799F" w:rsidR="007A20E4" w:rsidRDefault="007A20E4" w:rsidP="00C5468F">
            <w:pPr>
              <w:widowControl w:val="0"/>
              <w:spacing w:after="120" w:line="276" w:lineRule="auto"/>
              <w:jc w:val="both"/>
              <w:rPr>
                <w:lang w:eastAsia="ro-RO"/>
              </w:rPr>
            </w:pPr>
            <w:r>
              <w:rPr>
                <w:lang w:eastAsia="ro-RO"/>
              </w:rPr>
              <w:t>Totodat</w:t>
            </w:r>
            <w:r w:rsidR="002F0CE9">
              <w:rPr>
                <w:lang w:eastAsia="ro-RO"/>
              </w:rPr>
              <w:t>ă</w:t>
            </w:r>
            <w:r>
              <w:rPr>
                <w:lang w:eastAsia="ro-RO"/>
              </w:rPr>
              <w:t>, dup</w:t>
            </w:r>
            <w:r w:rsidR="002F0CE9">
              <w:rPr>
                <w:lang w:eastAsia="ro-RO"/>
              </w:rPr>
              <w:t>ă</w:t>
            </w:r>
            <w:r>
              <w:rPr>
                <w:lang w:eastAsia="ro-RO"/>
              </w:rPr>
              <w:t xml:space="preserve"> declanșarea pandemiei, o parte din populația jude</w:t>
            </w:r>
            <w:r w:rsidR="002F0CE9">
              <w:rPr>
                <w:lang w:eastAsia="ro-RO"/>
              </w:rPr>
              <w:t>ț</w:t>
            </w:r>
            <w:r>
              <w:rPr>
                <w:lang w:eastAsia="ro-RO"/>
              </w:rPr>
              <w:t xml:space="preserve">elor </w:t>
            </w:r>
            <w:r w:rsidR="002F0CE9">
              <w:rPr>
                <w:lang w:eastAsia="ro-RO"/>
              </w:rPr>
              <w:t>Timiș</w:t>
            </w:r>
            <w:r>
              <w:rPr>
                <w:lang w:eastAsia="ro-RO"/>
              </w:rPr>
              <w:t xml:space="preserve">, </w:t>
            </w:r>
            <w:r w:rsidR="002F0CE9">
              <w:rPr>
                <w:lang w:eastAsia="ro-RO"/>
              </w:rPr>
              <w:t>Galați</w:t>
            </w:r>
            <w:r>
              <w:rPr>
                <w:lang w:eastAsia="ro-RO"/>
              </w:rPr>
              <w:t xml:space="preserve">, Alba, Cluj şi Sălaj aflată la muncă în </w:t>
            </w:r>
            <w:r w:rsidR="002F0CE9">
              <w:rPr>
                <w:lang w:eastAsia="ro-RO"/>
              </w:rPr>
              <w:t>străinătate</w:t>
            </w:r>
            <w:r>
              <w:rPr>
                <w:lang w:eastAsia="ro-RO"/>
              </w:rPr>
              <w:t xml:space="preserve"> s-a întors în țară, crescând astfel consumul de apă, și implicit a cheltuielile operatorilor regionali iar sectorul HORECA și-a </w:t>
            </w:r>
            <w:r w:rsidR="002F0CE9">
              <w:rPr>
                <w:lang w:eastAsia="ro-RO"/>
              </w:rPr>
              <w:t>scăzut</w:t>
            </w:r>
            <w:r>
              <w:rPr>
                <w:lang w:eastAsia="ro-RO"/>
              </w:rPr>
              <w:t xml:space="preserve"> activitatea semnificativ.</w:t>
            </w:r>
          </w:p>
          <w:p w14:paraId="6F57D0C6" w14:textId="211FCEF4" w:rsidR="007A20E4" w:rsidRDefault="007A20E4" w:rsidP="00C5468F">
            <w:pPr>
              <w:widowControl w:val="0"/>
              <w:spacing w:after="120" w:line="276" w:lineRule="auto"/>
              <w:jc w:val="both"/>
              <w:rPr>
                <w:lang w:eastAsia="ro-RO"/>
              </w:rPr>
            </w:pPr>
            <w:r>
              <w:rPr>
                <w:lang w:eastAsia="ro-RO"/>
              </w:rPr>
              <w:t>Din coroborarea acestor aspecte, creșterea consumului și imposibilitatea sist</w:t>
            </w:r>
            <w:r w:rsidR="002F0CE9">
              <w:rPr>
                <w:lang w:eastAsia="ro-RO"/>
              </w:rPr>
              <w:t>ă</w:t>
            </w:r>
            <w:r>
              <w:rPr>
                <w:lang w:eastAsia="ro-RO"/>
              </w:rPr>
              <w:t>rii serviciului pentru neplată a condus la afectarea situației economico-fina</w:t>
            </w:r>
            <w:r w:rsidR="002F0CE9">
              <w:rPr>
                <w:lang w:eastAsia="ro-RO"/>
              </w:rPr>
              <w:t>n</w:t>
            </w:r>
            <w:r>
              <w:rPr>
                <w:lang w:eastAsia="ro-RO"/>
              </w:rPr>
              <w:t xml:space="preserve">ciare a celor 4 operatori regionali, </w:t>
            </w:r>
            <w:r w:rsidR="002F0CE9">
              <w:rPr>
                <w:lang w:eastAsia="ro-RO"/>
              </w:rPr>
              <w:t>î</w:t>
            </w:r>
            <w:r>
              <w:rPr>
                <w:lang w:eastAsia="ro-RO"/>
              </w:rPr>
              <w:t>n sensul creșterii consumului f</w:t>
            </w:r>
            <w:r w:rsidR="002F0CE9">
              <w:rPr>
                <w:lang w:eastAsia="ro-RO"/>
              </w:rPr>
              <w:t>ă</w:t>
            </w:r>
            <w:r>
              <w:rPr>
                <w:lang w:eastAsia="ro-RO"/>
              </w:rPr>
              <w:t xml:space="preserve">ră a exista posibilitatea </w:t>
            </w:r>
            <w:r w:rsidR="002F0CE9">
              <w:rPr>
                <w:lang w:eastAsia="ro-RO"/>
              </w:rPr>
              <w:t>constrângerii</w:t>
            </w:r>
            <w:r>
              <w:rPr>
                <w:lang w:eastAsia="ro-RO"/>
              </w:rPr>
              <w:t xml:space="preserve"> pentru plata utilităților.</w:t>
            </w:r>
          </w:p>
          <w:p w14:paraId="5C531EE9" w14:textId="3F2C616A" w:rsidR="002F36E2" w:rsidRDefault="002F36E2" w:rsidP="00C5468F">
            <w:pPr>
              <w:widowControl w:val="0"/>
              <w:spacing w:after="120" w:line="276" w:lineRule="auto"/>
              <w:jc w:val="both"/>
              <w:rPr>
                <w:lang w:eastAsia="ro-RO"/>
              </w:rPr>
            </w:pPr>
            <w:r w:rsidRPr="00C5468F">
              <w:rPr>
                <w:lang w:eastAsia="ro-RO"/>
              </w:rPr>
              <w:lastRenderedPageBreak/>
              <w:t xml:space="preserve">În plus creșterea generalizată a prețurilor la materialele de construcții, creșterea prețurilor la combustibili, creșterea prețurilor la energie electrică au afectat capacitatea financiară a unora dintre acești operatori, existând riscul în special proiectele aprobate în baza contribuției beneficiarilor,  respectiv ale </w:t>
            </w:r>
            <w:r w:rsidR="00C5468F" w:rsidRPr="00C5468F">
              <w:rPr>
                <w:lang w:eastAsia="ro-RO"/>
              </w:rPr>
              <w:t>operatorilor</w:t>
            </w:r>
            <w:r w:rsidRPr="00C5468F">
              <w:rPr>
                <w:lang w:eastAsia="ro-RO"/>
              </w:rPr>
              <w:t xml:space="preserve"> regionali ce operează sistemele de apă și canalizare pe raza unității administrativ teritoriale a județelor Timiș, Galați, Alba, Cluj și Sălaj, să întâmpine blocaje de natură a afecta utilizarea fondurilor nerambursabile.</w:t>
            </w:r>
          </w:p>
          <w:p w14:paraId="5804C3DB" w14:textId="6D98F6D8" w:rsidR="007A20E4" w:rsidRDefault="002F0CE9" w:rsidP="00C5468F">
            <w:pPr>
              <w:widowControl w:val="0"/>
              <w:spacing w:after="120" w:line="276" w:lineRule="auto"/>
              <w:jc w:val="both"/>
              <w:rPr>
                <w:lang w:eastAsia="ro-RO"/>
              </w:rPr>
            </w:pPr>
            <w:r>
              <w:rPr>
                <w:lang w:eastAsia="ro-RO"/>
              </w:rPr>
              <w:t>D</w:t>
            </w:r>
            <w:r w:rsidR="007A20E4">
              <w:rPr>
                <w:lang w:eastAsia="ro-RO"/>
              </w:rPr>
              <w:t>e asemenea, evoluția prețurilor dup</w:t>
            </w:r>
            <w:r>
              <w:rPr>
                <w:lang w:eastAsia="ro-RO"/>
              </w:rPr>
              <w:t>ă</w:t>
            </w:r>
            <w:r w:rsidR="007A20E4">
              <w:rPr>
                <w:lang w:eastAsia="ro-RO"/>
              </w:rPr>
              <w:t xml:space="preserve"> 01.01.2019, accentu</w:t>
            </w:r>
            <w:r>
              <w:rPr>
                <w:lang w:eastAsia="ro-RO"/>
              </w:rPr>
              <w:t>â</w:t>
            </w:r>
            <w:r w:rsidR="007A20E4">
              <w:rPr>
                <w:lang w:eastAsia="ro-RO"/>
              </w:rPr>
              <w:t>ndu-se dup</w:t>
            </w:r>
            <w:r>
              <w:rPr>
                <w:lang w:eastAsia="ro-RO"/>
              </w:rPr>
              <w:t>ă</w:t>
            </w:r>
            <w:r w:rsidR="007A20E4">
              <w:rPr>
                <w:lang w:eastAsia="ro-RO"/>
              </w:rPr>
              <w:t xml:space="preserve"> declanșarea pandemiei, a generat costuri care dep</w:t>
            </w:r>
            <w:r>
              <w:rPr>
                <w:lang w:eastAsia="ro-RO"/>
              </w:rPr>
              <w:t>ă</w:t>
            </w:r>
            <w:r w:rsidR="007A20E4">
              <w:rPr>
                <w:lang w:eastAsia="ro-RO"/>
              </w:rPr>
              <w:t xml:space="preserve">șesc cu mult estimarea luată în considerare la elaborarea Analizei Cost-Beneficiu, cu impact major asupra cheltuielilor, nemaifiind acoperite </w:t>
            </w:r>
            <w:r>
              <w:rPr>
                <w:lang w:eastAsia="ro-RO"/>
              </w:rPr>
              <w:t>corespunzător</w:t>
            </w:r>
            <w:r w:rsidR="007A20E4">
              <w:rPr>
                <w:lang w:eastAsia="ro-RO"/>
              </w:rPr>
              <w:t xml:space="preserve"> de creșterile de preț/tarif din strategia tarifară elaborată in anul 2015-2016.</w:t>
            </w:r>
          </w:p>
          <w:p w14:paraId="4CC7335F" w14:textId="77777777" w:rsidR="00890D08" w:rsidRDefault="001E0BD4" w:rsidP="00C5468F">
            <w:pPr>
              <w:widowControl w:val="0"/>
              <w:spacing w:after="120" w:line="276" w:lineRule="auto"/>
              <w:jc w:val="both"/>
              <w:rPr>
                <w:lang w:eastAsia="ro-RO"/>
              </w:rPr>
            </w:pPr>
            <w:r w:rsidRPr="00894B05">
              <w:rPr>
                <w:lang w:eastAsia="ro-RO"/>
              </w:rPr>
              <w:t>Conform prevederilor în vigoare ale alin. (3</w:t>
            </w:r>
            <w:r w:rsidR="00BC2ED4" w:rsidRPr="00894B05">
              <w:rPr>
                <w:vertAlign w:val="superscript"/>
                <w:lang w:eastAsia="ro-RO"/>
              </w:rPr>
              <w:t>1</w:t>
            </w:r>
            <w:r w:rsidRPr="00894B05">
              <w:rPr>
                <w:lang w:eastAsia="ro-RO"/>
              </w:rPr>
              <w:t>) de la art. 18</w:t>
            </w:r>
            <w:r w:rsidRPr="00894B05">
              <w:rPr>
                <w:vertAlign w:val="superscript"/>
                <w:lang w:eastAsia="ro-RO"/>
              </w:rPr>
              <w:t>1</w:t>
            </w:r>
            <w:r w:rsidRPr="00894B05">
              <w:rPr>
                <w:lang w:eastAsia="ro-RO"/>
              </w:rPr>
              <w:t xml:space="preserve"> din OUG nr. 40/2015, cu modificările și completările ulterioare</w:t>
            </w:r>
            <w:r w:rsidR="00981C86" w:rsidRPr="00894B05">
              <w:rPr>
                <w:lang w:eastAsia="ro-RO"/>
              </w:rPr>
              <w:t xml:space="preserve">, introduse prin Legea nr. 18/2021 </w:t>
            </w:r>
            <w:r w:rsidR="00981C86" w:rsidRPr="00894B05">
              <w:rPr>
                <w:i/>
                <w:iCs/>
                <w:lang w:eastAsia="ro-RO"/>
              </w:rPr>
              <w:t>privind aprobarea Ordonanţei de urgenţă a Guvernului nr. 80/2019 pentru modificarea şi completarea unor acte normative în domeniul fondurilor europene,</w:t>
            </w:r>
            <w:r w:rsidRPr="00894B05">
              <w:rPr>
                <w:lang w:eastAsia="ro-RO"/>
              </w:rPr>
              <w:t xml:space="preserve"> </w:t>
            </w:r>
            <w:r w:rsidRPr="00894B05">
              <w:rPr>
                <w:lang w:val="en-US" w:eastAsia="ro-RO"/>
              </w:rPr>
              <w:t>“</w:t>
            </w:r>
            <w:r w:rsidRPr="00894B05">
              <w:rPr>
                <w:i/>
                <w:iCs/>
                <w:lang w:eastAsia="ro-RO"/>
              </w:rPr>
              <w:t>Beneficiarii sunt exceptaţi de la reţinerea ratei forfetare de 6% aferente contribuţiei lor până la implementarea a 75% din proiect, cheltuielile eligibile fiind rambursate în proporţie de 100% din fonduri europene</w:t>
            </w:r>
            <w:r w:rsidRPr="00894B05">
              <w:rPr>
                <w:lang w:eastAsia="ro-RO"/>
              </w:rPr>
              <w:t xml:space="preserve">.” </w:t>
            </w:r>
          </w:p>
          <w:p w14:paraId="2FB57CD2" w14:textId="0817B63B" w:rsidR="00890D08" w:rsidRPr="00A00346" w:rsidRDefault="001E0BD4" w:rsidP="00C5468F">
            <w:pPr>
              <w:widowControl w:val="0"/>
              <w:spacing w:after="120" w:line="276" w:lineRule="auto"/>
              <w:jc w:val="both"/>
              <w:rPr>
                <w:lang w:eastAsia="ro-RO"/>
              </w:rPr>
            </w:pPr>
            <w:r w:rsidRPr="00894B05">
              <w:rPr>
                <w:lang w:eastAsia="ro-RO"/>
              </w:rPr>
              <w:t>Ținând cont de faptul că cheltuielile eligibile sunt defalcate în contribuția aferentă fondurilor europene, contribuția aferentă bugetului de stat și contribuția proprie (dacă este cazul)</w:t>
            </w:r>
            <w:r w:rsidR="00283DDB" w:rsidRPr="00894B05">
              <w:rPr>
                <w:lang w:eastAsia="ro-RO"/>
              </w:rPr>
              <w:t>, precum și de faptul că, în</w:t>
            </w:r>
            <w:r w:rsidRPr="00894B05">
              <w:rPr>
                <w:lang w:eastAsia="ro-RO"/>
              </w:rPr>
              <w:t xml:space="preserve"> conformitate cu contractele de finanțare și cu prezenta ordonanță de urgență, sumele rambursate reprezintă contravaloarea contribuției aferente fondurilor europene și a contribuției aferente bugetului de stat</w:t>
            </w:r>
            <w:r w:rsidR="00283DDB" w:rsidRPr="00894B05">
              <w:rPr>
                <w:lang w:eastAsia="ro-RO"/>
              </w:rPr>
              <w:t xml:space="preserve">, este necesară eliminarea sintagmei </w:t>
            </w:r>
            <w:r w:rsidR="00283DDB" w:rsidRPr="00894B05">
              <w:rPr>
                <w:lang w:val="en-US" w:eastAsia="ro-RO"/>
              </w:rPr>
              <w:t>“</w:t>
            </w:r>
            <w:r w:rsidR="00283DDB" w:rsidRPr="00894B05">
              <w:rPr>
                <w:i/>
                <w:iCs/>
                <w:lang w:eastAsia="ro-RO"/>
              </w:rPr>
              <w:t xml:space="preserve">cheltuielile eligibile fiind rambursate </w:t>
            </w:r>
            <w:r w:rsidR="00283DDB" w:rsidRPr="00A00346">
              <w:rPr>
                <w:i/>
                <w:iCs/>
                <w:lang w:eastAsia="ro-RO"/>
              </w:rPr>
              <w:t xml:space="preserve">în </w:t>
            </w:r>
            <w:r w:rsidR="00A00346" w:rsidRPr="00A00346">
              <w:rPr>
                <w:i/>
                <w:iCs/>
                <w:lang w:eastAsia="ro-RO"/>
              </w:rPr>
              <w:t>proporție</w:t>
            </w:r>
            <w:r w:rsidR="00283DDB" w:rsidRPr="00A00346">
              <w:rPr>
                <w:i/>
                <w:iCs/>
                <w:lang w:eastAsia="ro-RO"/>
              </w:rPr>
              <w:t xml:space="preserve"> de 100% din fonduri europene” </w:t>
            </w:r>
            <w:r w:rsidR="00283DDB" w:rsidRPr="00A00346">
              <w:rPr>
                <w:lang w:eastAsia="ro-RO"/>
              </w:rPr>
              <w:t>din cuprinsul alineatului sus-menționat</w:t>
            </w:r>
            <w:r w:rsidR="00890D08" w:rsidRPr="00A00346">
              <w:rPr>
                <w:lang w:eastAsia="ro-RO"/>
              </w:rPr>
              <w:t xml:space="preserve">. Eliminarea sintagmei are în vedere corectarea unei deficiențe de formulare, incompatibile cu schema de finanțare din sectorul de apă și apă uzată astfel cum a fost aprobată odată cu programul, respectiv finanțarea unui procent de până la maxim 98% din valoare eligibilă. </w:t>
            </w:r>
          </w:p>
          <w:p w14:paraId="15AD06EE" w14:textId="43A2E3CC" w:rsidR="005514F5" w:rsidRDefault="005514F5" w:rsidP="00C5468F">
            <w:pPr>
              <w:spacing w:after="120" w:line="276" w:lineRule="auto"/>
              <w:jc w:val="both"/>
              <w:rPr>
                <w:lang w:eastAsia="ro-RO"/>
              </w:rPr>
            </w:pPr>
            <w:r w:rsidRPr="00C5468F">
              <w:rPr>
                <w:lang w:eastAsia="ro-RO"/>
              </w:rPr>
              <w:t>Totodată este necesară clarificarea faptului că obligația beneficiarilor de a contribui la finanțarea cheltuielilor din proiect, respectiv de a realiza lucrări din resurse proprii, se menține și după atingerea unui progres financiar de 75% chiar și în condițiile instituirii unei excepții cu caracter temporar de la reținere, până la atingerea procentului menționat.</w:t>
            </w:r>
            <w:r>
              <w:rPr>
                <w:lang w:eastAsia="ro-RO"/>
              </w:rPr>
              <w:t xml:space="preserve"> </w:t>
            </w:r>
            <w:r w:rsidRPr="005514F5">
              <w:rPr>
                <w:lang w:eastAsia="ro-RO"/>
              </w:rPr>
              <w:t xml:space="preserve">  </w:t>
            </w:r>
          </w:p>
          <w:p w14:paraId="446F8EA6" w14:textId="651FD4F6" w:rsidR="00276B03" w:rsidRPr="00894B05" w:rsidRDefault="00276B03" w:rsidP="00C5468F">
            <w:pPr>
              <w:spacing w:after="120" w:line="276" w:lineRule="auto"/>
              <w:jc w:val="both"/>
              <w:rPr>
                <w:lang w:eastAsia="ro-RO"/>
              </w:rPr>
            </w:pPr>
            <w:r w:rsidRPr="00894B05">
              <w:rPr>
                <w:lang w:eastAsia="ro-RO"/>
              </w:rPr>
              <w:t xml:space="preserve">Ordonanța de urgență a Guvernului nr. 64/2009 privind gestionarea financiară a instrumentelor structurale şi utilizarea acestora pentru obiectivul convergenţă, aprobată cu modificări și completări prin Legea nr. 362/2009, cu modificările și completările ulterioare, stabileşte cadrul financiar general pentru gestionarea asistenţei financiare nerambursabile alocate României, în perioada de programare 2007-2013, pentru obiectivul convergenţă al politicii de coeziune a Uniunii Europene, precum şi a prefinanţării şi cofinanţării aferente acestei asistenţe, în </w:t>
            </w:r>
            <w:r w:rsidRPr="00894B05">
              <w:rPr>
                <w:lang w:eastAsia="ro-RO"/>
              </w:rPr>
              <w:lastRenderedPageBreak/>
              <w:t>vederea asigurării unui management financiar eficient al fondurilor provenite din instrumente structurale.</w:t>
            </w:r>
          </w:p>
          <w:p w14:paraId="06C045FF" w14:textId="41118C4B" w:rsidR="00276B03" w:rsidRPr="00894B05" w:rsidRDefault="00276B03" w:rsidP="00C5468F">
            <w:pPr>
              <w:spacing w:after="120" w:line="276" w:lineRule="auto"/>
              <w:jc w:val="both"/>
              <w:rPr>
                <w:lang w:eastAsia="ro-RO"/>
              </w:rPr>
            </w:pPr>
            <w:r w:rsidRPr="00894B05">
              <w:rPr>
                <w:lang w:eastAsia="ro-RO"/>
              </w:rPr>
              <w:t>Conform prevederilor în vigoare ale actului normativ sus-menționat, în bugetele ordonatorilor principali de credite cu rol de Autoritate de management pentru programele operaţionale care utilizează mecanismul plăţii indirecte,   nu au fost cuprinse sumele necesare pentru punerea în aplicare hotărârilor judecătoreşti definitive, hotărâri emise după perioada de implementare a proiectelor.</w:t>
            </w:r>
          </w:p>
          <w:p w14:paraId="458290EB" w14:textId="6585B484" w:rsidR="00276B03" w:rsidRDefault="00ED0802" w:rsidP="00C5468F">
            <w:pPr>
              <w:spacing w:after="120" w:line="276" w:lineRule="auto"/>
              <w:jc w:val="both"/>
              <w:rPr>
                <w:lang w:eastAsia="ro-RO"/>
              </w:rPr>
            </w:pPr>
            <w:r>
              <w:rPr>
                <w:lang w:eastAsia="ro-RO"/>
              </w:rPr>
              <w:t xml:space="preserve">Astfel, este necesară </w:t>
            </w:r>
            <w:r w:rsidR="00276B03" w:rsidRPr="00894B05">
              <w:rPr>
                <w:lang w:eastAsia="ro-RO"/>
              </w:rPr>
              <w:t xml:space="preserve">completarea articolului 8 </w:t>
            </w:r>
            <w:r w:rsidR="002832F2" w:rsidRPr="00894B05">
              <w:rPr>
                <w:lang w:eastAsia="ro-RO"/>
              </w:rPr>
              <w:t>ş</w:t>
            </w:r>
            <w:r w:rsidR="002832F2">
              <w:rPr>
                <w:lang w:eastAsia="ro-RO"/>
              </w:rPr>
              <w:t xml:space="preserve">i a articolului 9 </w:t>
            </w:r>
            <w:r w:rsidR="00276B03" w:rsidRPr="00894B05">
              <w:rPr>
                <w:lang w:eastAsia="ro-RO"/>
              </w:rPr>
              <w:t xml:space="preserve">din OUG nr. 64/2009, cu modificările și completările ulterioare, astfel încât să fie prinse </w:t>
            </w:r>
            <w:r w:rsidR="008A44AD" w:rsidRPr="00894B05">
              <w:rPr>
                <w:lang w:eastAsia="ro-RO"/>
              </w:rPr>
              <w:t xml:space="preserve">sumele sus-menționate </w:t>
            </w:r>
            <w:r w:rsidR="00276B03" w:rsidRPr="00894B05">
              <w:rPr>
                <w:lang w:eastAsia="ro-RO"/>
              </w:rPr>
              <w:t>în bugetele ordonatorilor principali de credite cu rol de Autoritate de management pentru programele operaţionale care utilizează mecanismul plăţii indirecte.</w:t>
            </w:r>
          </w:p>
          <w:p w14:paraId="25C4B0AC" w14:textId="77777777" w:rsidR="00D24E65" w:rsidRDefault="00131A43" w:rsidP="006565D1">
            <w:pPr>
              <w:spacing w:after="120" w:line="276" w:lineRule="auto"/>
              <w:jc w:val="both"/>
              <w:rPr>
                <w:lang w:eastAsia="ro-RO"/>
              </w:rPr>
            </w:pPr>
            <w:r>
              <w:rPr>
                <w:lang w:eastAsia="ro-RO"/>
              </w:rPr>
              <w:t>Deoarece , conform prevederilor în vigoare ale OUG nr. 64/2009, cu modificările și completările ulterioare, d</w:t>
            </w:r>
            <w:r w:rsidRPr="00131A43">
              <w:rPr>
                <w:lang w:eastAsia="ro-RO"/>
              </w:rPr>
              <w:t xml:space="preserve">eciziile de reziliere din perioada de programare 2007- 2013 nu sunt titluri executorii ca </w:t>
            </w:r>
            <w:r>
              <w:rPr>
                <w:lang w:eastAsia="ro-RO"/>
              </w:rPr>
              <w:t>î</w:t>
            </w:r>
            <w:r w:rsidRPr="00131A43">
              <w:rPr>
                <w:lang w:eastAsia="ro-RO"/>
              </w:rPr>
              <w:t xml:space="preserve">n actuala perioada 2014 – 2020, nu pot fi încheiate contracte de finanțare cu beneficiarii </w:t>
            </w:r>
            <w:r>
              <w:rPr>
                <w:lang w:eastAsia="ro-RO"/>
              </w:rPr>
              <w:t>autorități publice locale (APL),</w:t>
            </w:r>
            <w:r w:rsidRPr="00131A43">
              <w:rPr>
                <w:lang w:eastAsia="ro-RO"/>
              </w:rPr>
              <w:t xml:space="preserve"> </w:t>
            </w:r>
            <w:r>
              <w:rPr>
                <w:lang w:eastAsia="ro-RO"/>
              </w:rPr>
              <w:t>î</w:t>
            </w:r>
            <w:r w:rsidRPr="00131A43">
              <w:rPr>
                <w:lang w:eastAsia="ro-RO"/>
              </w:rPr>
              <w:t>ntruc</w:t>
            </w:r>
            <w:r>
              <w:rPr>
                <w:lang w:eastAsia="ro-RO"/>
              </w:rPr>
              <w:t>â</w:t>
            </w:r>
            <w:r w:rsidRPr="00131A43">
              <w:rPr>
                <w:lang w:eastAsia="ro-RO"/>
              </w:rPr>
              <w:t>t ace</w:t>
            </w:r>
            <w:r>
              <w:rPr>
                <w:lang w:eastAsia="ro-RO"/>
              </w:rPr>
              <w:t>ș</w:t>
            </w:r>
            <w:r w:rsidRPr="00131A43">
              <w:rPr>
                <w:lang w:eastAsia="ro-RO"/>
              </w:rPr>
              <w:t>tia nu au posibilitatea s</w:t>
            </w:r>
            <w:r>
              <w:rPr>
                <w:lang w:eastAsia="ro-RO"/>
              </w:rPr>
              <w:t>ă</w:t>
            </w:r>
            <w:r w:rsidRPr="00131A43">
              <w:rPr>
                <w:lang w:eastAsia="ro-RO"/>
              </w:rPr>
              <w:t xml:space="preserve"> restituie debitul. </w:t>
            </w:r>
            <w:r>
              <w:rPr>
                <w:lang w:eastAsia="ro-RO"/>
              </w:rPr>
              <w:t xml:space="preserve">Acești beneficiari </w:t>
            </w:r>
            <w:r w:rsidRPr="00131A43">
              <w:rPr>
                <w:lang w:eastAsia="ro-RO"/>
              </w:rPr>
              <w:t>dor</w:t>
            </w:r>
            <w:r>
              <w:rPr>
                <w:lang w:eastAsia="ro-RO"/>
              </w:rPr>
              <w:t>esc</w:t>
            </w:r>
            <w:r w:rsidRPr="00131A43">
              <w:rPr>
                <w:lang w:eastAsia="ro-RO"/>
              </w:rPr>
              <w:t xml:space="preserve"> e</w:t>
            </w:r>
            <w:r>
              <w:rPr>
                <w:lang w:eastAsia="ro-RO"/>
              </w:rPr>
              <w:t>ș</w:t>
            </w:r>
            <w:r w:rsidRPr="00131A43">
              <w:rPr>
                <w:lang w:eastAsia="ro-RO"/>
              </w:rPr>
              <w:t>alonarea</w:t>
            </w:r>
            <w:r>
              <w:rPr>
                <w:lang w:eastAsia="ro-RO"/>
              </w:rPr>
              <w:t xml:space="preserve"> </w:t>
            </w:r>
            <w:r w:rsidRPr="00131A43">
              <w:rPr>
                <w:lang w:eastAsia="ro-RO"/>
              </w:rPr>
              <w:t>dată de ANAF</w:t>
            </w:r>
            <w:r>
              <w:rPr>
                <w:lang w:eastAsia="ro-RO"/>
              </w:rPr>
              <w:t>, dar</w:t>
            </w:r>
            <w:r w:rsidRPr="00131A43">
              <w:rPr>
                <w:lang w:eastAsia="ro-RO"/>
              </w:rPr>
              <w:t xml:space="preserve"> ANAF nu  prime</w:t>
            </w:r>
            <w:r>
              <w:rPr>
                <w:lang w:eastAsia="ro-RO"/>
              </w:rPr>
              <w:t>ș</w:t>
            </w:r>
            <w:r w:rsidRPr="00131A43">
              <w:rPr>
                <w:lang w:eastAsia="ro-RO"/>
              </w:rPr>
              <w:t>te aceste decizii de reziliere nefiind titluri de creanță. Menționăm că APL urile au în derulare proiecte integrate fapt ce împiedic</w:t>
            </w:r>
            <w:r>
              <w:rPr>
                <w:lang w:eastAsia="ro-RO"/>
              </w:rPr>
              <w:t>ă</w:t>
            </w:r>
            <w:r w:rsidRPr="00131A43">
              <w:rPr>
                <w:lang w:eastAsia="ro-RO"/>
              </w:rPr>
              <w:t xml:space="preserve"> implementarea unora dintre ele în aceste cazuri.</w:t>
            </w:r>
          </w:p>
          <w:p w14:paraId="2DDE2DDF" w14:textId="706FE5A9" w:rsidR="006565D1" w:rsidRPr="006565D1" w:rsidRDefault="00D24E65" w:rsidP="006565D1">
            <w:pPr>
              <w:spacing w:after="120" w:line="276" w:lineRule="auto"/>
              <w:jc w:val="both"/>
              <w:rPr>
                <w:lang w:eastAsia="ro-RO"/>
              </w:rPr>
            </w:pPr>
            <w:r>
              <w:rPr>
                <w:lang w:eastAsia="ro-RO"/>
              </w:rPr>
              <w:t>Prin i</w:t>
            </w:r>
            <w:r w:rsidR="006565D1" w:rsidRPr="006565D1">
              <w:rPr>
                <w:lang w:eastAsia="ro-RO"/>
              </w:rPr>
              <w:t xml:space="preserve">ntroducerea </w:t>
            </w:r>
            <w:r w:rsidR="006565D1" w:rsidRPr="006565D1">
              <w:rPr>
                <w:i/>
                <w:lang w:eastAsia="ro-RO"/>
              </w:rPr>
              <w:t>Capitolul IV</w:t>
            </w:r>
            <w:r w:rsidR="006565D1" w:rsidRPr="006565D1">
              <w:rPr>
                <w:i/>
                <w:vertAlign w:val="superscript"/>
                <w:lang w:eastAsia="ro-RO"/>
              </w:rPr>
              <w:t>2</w:t>
            </w:r>
            <w:r w:rsidR="006565D1" w:rsidRPr="006565D1">
              <w:rPr>
                <w:i/>
                <w:lang w:eastAsia="ro-RO"/>
              </w:rPr>
              <w:t xml:space="preserve"> Decizia de reziliere a contractului de finanțare </w:t>
            </w:r>
            <w:r w:rsidR="006565D1" w:rsidRPr="006565D1">
              <w:rPr>
                <w:lang w:eastAsia="ro-RO"/>
              </w:rPr>
              <w:t xml:space="preserve">la OUG nr. </w:t>
            </w:r>
            <w:r>
              <w:rPr>
                <w:lang w:eastAsia="ro-RO"/>
              </w:rPr>
              <w:t>64</w:t>
            </w:r>
            <w:r w:rsidR="006565D1" w:rsidRPr="006565D1">
              <w:rPr>
                <w:lang w:eastAsia="ro-RO"/>
              </w:rPr>
              <w:t>/20</w:t>
            </w:r>
            <w:r>
              <w:rPr>
                <w:lang w:eastAsia="ro-RO"/>
              </w:rPr>
              <w:t xml:space="preserve">09 </w:t>
            </w:r>
            <w:r w:rsidR="006565D1" w:rsidRPr="006565D1">
              <w:rPr>
                <w:lang w:eastAsia="ro-RO"/>
              </w:rPr>
              <w:t>cu prevederi referitoare la recuperarea prin alte titluri de creanță, se diminuează termenul de obținere a eșalonării la plată a sumelor stabilite prin decizia de reziliere a contractului de finanțare, emise de către autoritățile de management.</w:t>
            </w:r>
          </w:p>
          <w:p w14:paraId="3F92862C" w14:textId="77777777" w:rsidR="006565D1" w:rsidRPr="006565D1" w:rsidRDefault="006565D1" w:rsidP="006565D1">
            <w:pPr>
              <w:spacing w:after="120" w:line="276" w:lineRule="auto"/>
              <w:jc w:val="both"/>
              <w:rPr>
                <w:lang w:eastAsia="ro-RO"/>
              </w:rPr>
            </w:pPr>
            <w:r w:rsidRPr="006565D1">
              <w:rPr>
                <w:lang w:eastAsia="ro-RO"/>
              </w:rPr>
              <w:t xml:space="preserve">Reducerea termenului de obținere a certificatului de atestare contribuie la o gestionare mai eficientă a fondurilor europene și a fondurilor de cofinanțare de la bugetul de stat atât de la nivelul beneficiarilor cât și de la nivelul Autorităților de management, deoarece în baza certificatului fiscal eliberat de ANAF, beneficiarii au posibilitatea de a depune spre contractare proiecte.  </w:t>
            </w:r>
          </w:p>
          <w:p w14:paraId="73322EBB" w14:textId="4902E7AF" w:rsidR="006565D1" w:rsidRPr="006565D1" w:rsidRDefault="00D24E65" w:rsidP="006565D1">
            <w:pPr>
              <w:spacing w:after="120" w:line="276" w:lineRule="auto"/>
              <w:jc w:val="both"/>
              <w:rPr>
                <w:lang w:eastAsia="ro-RO"/>
              </w:rPr>
            </w:pPr>
            <w:r>
              <w:rPr>
                <w:lang w:eastAsia="ro-RO"/>
              </w:rPr>
              <w:t>Astfel, î</w:t>
            </w:r>
            <w:r w:rsidR="006565D1" w:rsidRPr="006565D1">
              <w:rPr>
                <w:lang w:eastAsia="ro-RO"/>
              </w:rPr>
              <w:t xml:space="preserve">n vederea contractării de proiecte este imperios necesară obținerea eșalonării la plată a debitelor stabilite prin decizia de reziliere a contractului de finanțare, emisă de către autoritățile de management. </w:t>
            </w:r>
          </w:p>
          <w:p w14:paraId="25E65BDA" w14:textId="4E5AF141" w:rsidR="00E231B5" w:rsidRPr="007872E4" w:rsidRDefault="00165D35" w:rsidP="00C5468F">
            <w:pPr>
              <w:spacing w:after="120" w:line="276" w:lineRule="auto"/>
              <w:jc w:val="both"/>
              <w:rPr>
                <w:bCs/>
                <w:lang w:eastAsia="ro-RO"/>
              </w:rPr>
            </w:pPr>
            <w:r w:rsidRPr="007872E4">
              <w:rPr>
                <w:bCs/>
                <w:lang w:eastAsia="ro-RO"/>
              </w:rPr>
              <w:t>F</w:t>
            </w:r>
            <w:r w:rsidR="00E231B5" w:rsidRPr="007872E4">
              <w:rPr>
                <w:bCs/>
                <w:lang w:eastAsia="ro-RO"/>
              </w:rPr>
              <w:t xml:space="preserve">orma actuală a </w:t>
            </w:r>
            <w:r w:rsidR="002E6BA8" w:rsidRPr="007872E4">
              <w:rPr>
                <w:bCs/>
                <w:lang w:eastAsia="ro-RO"/>
              </w:rPr>
              <w:t xml:space="preserve">OUG </w:t>
            </w:r>
            <w:r w:rsidR="0049586B" w:rsidRPr="007872E4">
              <w:rPr>
                <w:bCs/>
                <w:lang w:eastAsia="ro-RO"/>
              </w:rPr>
              <w:t xml:space="preserve">nr. </w:t>
            </w:r>
            <w:r w:rsidR="002E6BA8" w:rsidRPr="007872E4">
              <w:rPr>
                <w:bCs/>
                <w:lang w:eastAsia="ro-RO"/>
              </w:rPr>
              <w:t>40/2015</w:t>
            </w:r>
            <w:r w:rsidR="0049586B" w:rsidRPr="007872E4">
              <w:rPr>
                <w:bCs/>
                <w:lang w:eastAsia="ro-RO"/>
              </w:rPr>
              <w:t>, cu modificările și completările ulterioare,</w:t>
            </w:r>
            <w:r w:rsidR="00E231B5" w:rsidRPr="007872E4">
              <w:rPr>
                <w:bCs/>
                <w:lang w:eastAsia="ro-RO"/>
              </w:rPr>
              <w:t xml:space="preserve"> prevede că, pentru proiectele finanțate din Fondul european de dezvoltare regională, Fondul de coeziune, Fondul social european, Fondul de ajutor european destinat celor mai defavorizate persoane prefinanțarea se acordă beneficiarilor/liderilor de parteneriat/partenerilor alții decât cei prevăzuți la art. 6 alin. (1)-(4) și (6) în tranșe de maximum 10% din valoarea eligibilă a proiectului, fără depășirea valorii totale eligibile a contractului de finanțare.</w:t>
            </w:r>
          </w:p>
          <w:p w14:paraId="115E7086" w14:textId="743CAD0B" w:rsidR="00E231B5" w:rsidRPr="007872E4" w:rsidRDefault="00E231B5" w:rsidP="00C5468F">
            <w:pPr>
              <w:spacing w:after="120" w:line="276" w:lineRule="auto"/>
              <w:jc w:val="both"/>
              <w:rPr>
                <w:bCs/>
                <w:lang w:eastAsia="ro-RO"/>
              </w:rPr>
            </w:pPr>
            <w:r w:rsidRPr="007872E4">
              <w:rPr>
                <w:bCs/>
                <w:lang w:eastAsia="ro-RO"/>
              </w:rPr>
              <w:lastRenderedPageBreak/>
              <w:t>Beneficiarii/liderii de parteneriat au obligația depunerii unei/unor cereri de rambursare care să cuprindă cheltuielile efectuate din tranșa de prefinanțare acordată, în cuantum cumulat de minimum 50% din valoarea acesteia, în termen de maximum 90 de zile calendaristice de la data la care autoritatea de management a virat tranșa de prefinanțare în contul beneficiarului, fără a depăși durata contractului de finanțare.</w:t>
            </w:r>
          </w:p>
          <w:p w14:paraId="6F0F6C3D" w14:textId="46A3F6BD" w:rsidR="00E231B5" w:rsidRPr="007872E4" w:rsidRDefault="00E231B5" w:rsidP="00C5468F">
            <w:pPr>
              <w:spacing w:after="120" w:line="276" w:lineRule="auto"/>
              <w:jc w:val="both"/>
              <w:rPr>
                <w:bCs/>
                <w:lang w:eastAsia="ro-RO"/>
              </w:rPr>
            </w:pPr>
            <w:r w:rsidRPr="007872E4">
              <w:rPr>
                <w:bCs/>
                <w:lang w:eastAsia="ro-RO"/>
              </w:rPr>
              <w:t>Mecanismul decontării cererilor de plată prevede obligativitatea beneficiarilor/liderilor de parteneriat/partenerilor, alții decât cei prevăzuți la art. 6 și 7</w:t>
            </w:r>
            <w:r w:rsidR="001A1AE5">
              <w:rPr>
                <w:bCs/>
                <w:lang w:eastAsia="ro-RO"/>
              </w:rPr>
              <w:t xml:space="preserve"> </w:t>
            </w:r>
            <w:r w:rsidR="001A1AE5" w:rsidRPr="001A1AE5">
              <w:rPr>
                <w:bCs/>
                <w:lang w:eastAsia="ro-RO"/>
              </w:rPr>
              <w:t>din actul normativ sus-menționat</w:t>
            </w:r>
            <w:r w:rsidRPr="007872E4">
              <w:rPr>
                <w:bCs/>
                <w:lang w:eastAsia="ro-RO"/>
              </w:rPr>
              <w:t xml:space="preserve">, de a achita integral contribuția proprie aferentă cheltuielilor eligibile incluse în documentele anexate cererii de plată. </w:t>
            </w:r>
          </w:p>
          <w:p w14:paraId="3DB85CC4" w14:textId="4D1526C1" w:rsidR="00E231B5" w:rsidRPr="007872E4" w:rsidRDefault="00E231B5" w:rsidP="00C5468F">
            <w:pPr>
              <w:spacing w:after="120" w:line="276" w:lineRule="auto"/>
              <w:jc w:val="both"/>
              <w:rPr>
                <w:bCs/>
                <w:lang w:eastAsia="ro-RO"/>
              </w:rPr>
            </w:pPr>
            <w:r w:rsidRPr="007872E4">
              <w:rPr>
                <w:bCs/>
                <w:lang w:eastAsia="ro-RO"/>
              </w:rPr>
              <w:t>În termen de maximum 10 zile lucrătoare de la data încasării sumelor virate de către autoritatea de management, beneficiarii au obligația de a depune cererea de rambursare aferentă cererii de plată la organismul intermediar/autoritatea de management, în care sunt incluse sumele din facturile decontate prin cererea de plată. În cazul proiectelor implementate în parteneriat, liderul de parteneriat depune o cerere de rambursare centralizată la nivel de proiect în care sunt incluse sumele din facturile decontate prin cererea de plată, atât liderului, cât și partenerului/partenerilor.</w:t>
            </w:r>
          </w:p>
          <w:p w14:paraId="64CBA7BD" w14:textId="727200C4" w:rsidR="00E231B5" w:rsidRPr="007872E4" w:rsidRDefault="00E231B5" w:rsidP="00C5468F">
            <w:pPr>
              <w:spacing w:after="120" w:line="276" w:lineRule="auto"/>
              <w:jc w:val="both"/>
              <w:rPr>
                <w:bCs/>
                <w:lang w:eastAsia="ro-RO"/>
              </w:rPr>
            </w:pPr>
            <w:r w:rsidRPr="007872E4">
              <w:rPr>
                <w:bCs/>
                <w:lang w:eastAsia="ro-RO"/>
              </w:rPr>
              <w:t>Mecanismul decontării cererilor de plată prevede obligativitatea beneficiarilor/liderilor de parteneriat de a depune la autoritățile de management/organismele intermediare cereri de rambursare pentru cheltuielile efectuate, în termen de maximum 3 luni de la efectuarea acestora, cu excepția cheltuielilor efectuate înainte de semnarea contractului de finanțare.</w:t>
            </w:r>
          </w:p>
          <w:p w14:paraId="73EEE402" w14:textId="49AF8402" w:rsidR="00E231B5" w:rsidRPr="007872E4" w:rsidRDefault="00E231B5" w:rsidP="00C5468F">
            <w:pPr>
              <w:spacing w:after="120" w:line="276" w:lineRule="auto"/>
              <w:jc w:val="both"/>
              <w:rPr>
                <w:bCs/>
                <w:lang w:eastAsia="ro-RO"/>
              </w:rPr>
            </w:pPr>
            <w:r w:rsidRPr="007872E4">
              <w:rPr>
                <w:bCs/>
                <w:lang w:eastAsia="ro-RO"/>
              </w:rPr>
              <w:t>Mecanismul rambursării cheltuielilor stabilește obligativitatea beneficiarilor de a depune cereri de rambursare pentru cheltuielile efectuate în termen de maximum 3 luni de la efectuarea acestora.</w:t>
            </w:r>
          </w:p>
          <w:p w14:paraId="4FADE18D" w14:textId="0819CD45" w:rsidR="006F7D98" w:rsidRDefault="00E231B5" w:rsidP="00C5468F">
            <w:pPr>
              <w:spacing w:after="120" w:line="276" w:lineRule="auto"/>
              <w:jc w:val="both"/>
              <w:rPr>
                <w:bCs/>
                <w:lang w:eastAsia="ro-RO"/>
              </w:rPr>
            </w:pPr>
            <w:r w:rsidRPr="007872E4">
              <w:rPr>
                <w:bCs/>
                <w:lang w:eastAsia="ro-RO"/>
              </w:rPr>
              <w:t>Autoritatea de management autorizează cheltuielile eligibile cuprinse în cererea de rambursare ȋn termen de maximum 20 de zile lucrătoare de la data depunerii de către beneficiar a cererii de rambursare întocmite conform contractului/ deciziei/ordinului de finanțare.</w:t>
            </w:r>
          </w:p>
          <w:p w14:paraId="60E4941A" w14:textId="2AFABF0C" w:rsidR="00BA0F40" w:rsidRDefault="00BA0F40" w:rsidP="00C5468F">
            <w:pPr>
              <w:spacing w:after="120" w:line="276" w:lineRule="auto"/>
              <w:jc w:val="both"/>
              <w:rPr>
                <w:bCs/>
                <w:lang w:eastAsia="ro-RO"/>
              </w:rPr>
            </w:pPr>
            <w:r w:rsidRPr="00BA0F40">
              <w:rPr>
                <w:bCs/>
                <w:lang w:eastAsia="ro-RO"/>
              </w:rPr>
              <w:t>Prevederile aprobate prin</w:t>
            </w:r>
            <w:r w:rsidR="00B17DEF">
              <w:rPr>
                <w:bCs/>
                <w:lang w:eastAsia="ro-RO"/>
              </w:rPr>
              <w:t xml:space="preserve"> </w:t>
            </w:r>
            <w:r w:rsidR="00B17DEF" w:rsidRPr="00F4494D">
              <w:rPr>
                <w:lang w:eastAsia="ro-RO"/>
              </w:rPr>
              <w:t>H</w:t>
            </w:r>
            <w:r w:rsidR="00B17DEF">
              <w:rPr>
                <w:lang w:eastAsia="ro-RO"/>
              </w:rPr>
              <w:t xml:space="preserve">G nr. </w:t>
            </w:r>
            <w:r w:rsidR="00B17DEF" w:rsidRPr="00F4494D">
              <w:rPr>
                <w:lang w:eastAsia="ro-RO"/>
              </w:rPr>
              <w:t>34</w:t>
            </w:r>
            <w:r w:rsidR="00B17DEF">
              <w:rPr>
                <w:lang w:eastAsia="ro-RO"/>
              </w:rPr>
              <w:t>/2</w:t>
            </w:r>
            <w:r w:rsidR="00B17DEF" w:rsidRPr="00F4494D">
              <w:rPr>
                <w:lang w:eastAsia="ro-RO"/>
              </w:rPr>
              <w:t>022</w:t>
            </w:r>
            <w:r w:rsidR="00B17DEF">
              <w:rPr>
                <w:lang w:eastAsia="ro-RO"/>
              </w:rPr>
              <w:t xml:space="preserve"> </w:t>
            </w:r>
            <w:r w:rsidR="00B17DEF" w:rsidRPr="00F4494D">
              <w:rPr>
                <w:lang w:eastAsia="ro-RO"/>
              </w:rPr>
              <w:t>privind prelungirea stării de alertă pe teritoriul României începând cu data de 8 ianuarie 2022, precum și stabilirea măsurilor care se aplică pe durata acesteia pentru prevenirea și combaterea efectelor pandemiei de COVID-19</w:t>
            </w:r>
            <w:r w:rsidR="00B17DEF">
              <w:rPr>
                <w:lang w:eastAsia="ro-RO"/>
              </w:rPr>
              <w:t xml:space="preserve">, respectiv </w:t>
            </w:r>
            <w:r w:rsidR="00B17DEF" w:rsidRPr="00B957C7">
              <w:rPr>
                <w:lang w:eastAsia="ro-RO"/>
              </w:rPr>
              <w:t xml:space="preserve">Hotărârea CNSU </w:t>
            </w:r>
            <w:r w:rsidR="00B17DEF">
              <w:rPr>
                <w:lang w:eastAsia="ro-RO"/>
              </w:rPr>
              <w:t xml:space="preserve">nr. </w:t>
            </w:r>
            <w:r w:rsidR="00B17DEF" w:rsidRPr="00E62CAF">
              <w:rPr>
                <w:lang w:eastAsia="ro-RO"/>
              </w:rPr>
              <w:t>4</w:t>
            </w:r>
            <w:r w:rsidR="00B17DEF">
              <w:rPr>
                <w:lang w:eastAsia="ro-RO"/>
              </w:rPr>
              <w:t>/</w:t>
            </w:r>
            <w:r w:rsidR="00B17DEF" w:rsidRPr="00E62CAF">
              <w:rPr>
                <w:lang w:eastAsia="ro-RO"/>
              </w:rPr>
              <w:t>2022</w:t>
            </w:r>
            <w:r w:rsidR="00B17DEF">
              <w:rPr>
                <w:lang w:eastAsia="ro-RO"/>
              </w:rPr>
              <w:t xml:space="preserve"> </w:t>
            </w:r>
            <w:r w:rsidR="00B17DEF" w:rsidRPr="00E62CAF">
              <w:rPr>
                <w:lang w:eastAsia="ro-RO"/>
              </w:rPr>
              <w:t>pentru aprobarea Listei cu clasificarea țărilor/teritoriilor în funcție de rata de incidență</w:t>
            </w:r>
            <w:r w:rsidR="00B17DEF">
              <w:rPr>
                <w:lang w:eastAsia="ro-RO"/>
              </w:rPr>
              <w:t xml:space="preserve"> </w:t>
            </w:r>
            <w:r w:rsidR="00B17DEF" w:rsidRPr="00E62CAF">
              <w:rPr>
                <w:lang w:eastAsia="ro-RO"/>
              </w:rPr>
              <w:t>cumulată</w:t>
            </w:r>
            <w:r w:rsidR="00B17DEF">
              <w:rPr>
                <w:lang w:eastAsia="ro-RO"/>
              </w:rPr>
              <w:t xml:space="preserve">, </w:t>
            </w:r>
            <w:r w:rsidRPr="00BA0F40">
              <w:rPr>
                <w:bCs/>
                <w:lang w:eastAsia="ro-RO"/>
              </w:rPr>
              <w:t xml:space="preserve"> în ceea ce privește obligația organizării activității și desfășurării programului de lucru în regim de telemuncă au redus capacitatea resurselor umane, atât în ceea ce privește activitatea sistemului de management și control al fondurilor externe nerambursabile, respectiv autorități de management, organisme intermediare etc., cât și în ceea ce privește activitatea beneficiarilor publici și privați ai proiectelor.</w:t>
            </w:r>
          </w:p>
          <w:p w14:paraId="45862F79" w14:textId="323772B1" w:rsidR="006F7D98" w:rsidRPr="00060E2F" w:rsidRDefault="00901C87" w:rsidP="00901C87">
            <w:pPr>
              <w:spacing w:after="120" w:line="276" w:lineRule="auto"/>
              <w:jc w:val="both"/>
              <w:rPr>
                <w:bCs/>
                <w:lang w:eastAsia="ro-RO"/>
              </w:rPr>
            </w:pPr>
            <w:r>
              <w:rPr>
                <w:bCs/>
                <w:lang w:eastAsia="ro-RO"/>
              </w:rPr>
              <w:lastRenderedPageBreak/>
              <w:t xml:space="preserve">Prin prisma specificului proiectelor </w:t>
            </w:r>
            <w:r>
              <w:t xml:space="preserve">aferente perioadei de programare 2014-2020 finanțate din Programul Operațional Capital Uman, Programul Operațional Competitivitate și Programul Operațional Regional și a anumitor proiecte finanțate din Programul Operațional Asistență Tehnică și ținând cont de </w:t>
            </w:r>
            <w:r w:rsidR="00BA0F40">
              <w:rPr>
                <w:bCs/>
                <w:lang w:eastAsia="ro-RO"/>
              </w:rPr>
              <w:t xml:space="preserve"> evoluțiile cauzate de contextul epidemiologic </w:t>
            </w:r>
            <w:r>
              <w:rPr>
                <w:bCs/>
                <w:lang w:eastAsia="ro-RO"/>
              </w:rPr>
              <w:t>se impune</w:t>
            </w:r>
            <w:r w:rsidR="00BA0F40">
              <w:rPr>
                <w:bCs/>
                <w:lang w:eastAsia="ro-RO"/>
              </w:rPr>
              <w:t xml:space="preserve"> creșter</w:t>
            </w:r>
            <w:r>
              <w:rPr>
                <w:bCs/>
                <w:lang w:eastAsia="ro-RO"/>
              </w:rPr>
              <w:t>ea</w:t>
            </w:r>
            <w:r w:rsidR="00BA0F40">
              <w:rPr>
                <w:bCs/>
                <w:lang w:eastAsia="ro-RO"/>
              </w:rPr>
              <w:t xml:space="preserve"> volumului de prefinanțare în scopul asigurării susținerii fluxurilor financiare la nivelul beneficiarilor dar și necesitatea flexibilizării unor termene stabilite prin OUG nr. 40/2015, cu modificările și completările ulterioare.</w:t>
            </w:r>
          </w:p>
        </w:tc>
      </w:tr>
      <w:tr w:rsidR="009F22AF" w:rsidRPr="007872E4" w14:paraId="63A0FC7D" w14:textId="77777777" w:rsidTr="00312FF3">
        <w:tc>
          <w:tcPr>
            <w:tcW w:w="2259" w:type="dxa"/>
          </w:tcPr>
          <w:p w14:paraId="4DA13CEC" w14:textId="156BAE56" w:rsidR="009F22AF" w:rsidRPr="007872E4" w:rsidRDefault="009F22AF" w:rsidP="00312FF3">
            <w:pPr>
              <w:spacing w:line="276" w:lineRule="auto"/>
              <w:jc w:val="both"/>
              <w:rPr>
                <w:lang w:eastAsia="ro-RO"/>
              </w:rPr>
            </w:pPr>
            <w:r w:rsidRPr="007872E4">
              <w:rPr>
                <w:lang w:eastAsia="ro-RO"/>
              </w:rPr>
              <w:lastRenderedPageBreak/>
              <w:t>1</w:t>
            </w:r>
            <w:r w:rsidRPr="007872E4">
              <w:rPr>
                <w:vertAlign w:val="superscript"/>
                <w:lang w:eastAsia="ro-RO"/>
              </w:rPr>
              <w:t>1</w:t>
            </w:r>
            <w:r w:rsidRPr="007872E4">
              <w:rPr>
                <w:lang w:eastAsia="ro-RO"/>
              </w:rPr>
              <w:t xml:space="preserve"> </w:t>
            </w:r>
            <w:r w:rsidRPr="00312FF3">
              <w:rPr>
                <w:sz w:val="22"/>
                <w:szCs w:val="22"/>
                <w:lang w:eastAsia="ro-RO"/>
              </w:rPr>
              <w:t xml:space="preserve">În cazul proiectelor de acte normative care transpun </w:t>
            </w:r>
            <w:r w:rsidR="00C5468F" w:rsidRPr="00312FF3">
              <w:rPr>
                <w:sz w:val="22"/>
                <w:szCs w:val="22"/>
                <w:lang w:eastAsia="ro-RO"/>
              </w:rPr>
              <w:t>legislație</w:t>
            </w:r>
            <w:r w:rsidRPr="00312FF3">
              <w:rPr>
                <w:sz w:val="22"/>
                <w:szCs w:val="22"/>
                <w:lang w:eastAsia="ro-RO"/>
              </w:rPr>
              <w:t xml:space="preserve"> comunitară sau creează cadrul pentru aplicarea directă a acesteia, se vor specifica doar actele comunitare în cauză, </w:t>
            </w:r>
            <w:r w:rsidR="00C5468F" w:rsidRPr="00312FF3">
              <w:rPr>
                <w:sz w:val="22"/>
                <w:szCs w:val="22"/>
                <w:lang w:eastAsia="ro-RO"/>
              </w:rPr>
              <w:t>însoțite</w:t>
            </w:r>
            <w:r w:rsidRPr="00312FF3">
              <w:rPr>
                <w:sz w:val="22"/>
                <w:szCs w:val="22"/>
                <w:lang w:eastAsia="ro-RO"/>
              </w:rPr>
              <w:t xml:space="preserve"> de elementel</w:t>
            </w:r>
            <w:r w:rsidR="00060E2F" w:rsidRPr="00312FF3">
              <w:rPr>
                <w:sz w:val="22"/>
                <w:szCs w:val="22"/>
                <w:lang w:eastAsia="ro-RO"/>
              </w:rPr>
              <w:t>e de identificare ale acestora.</w:t>
            </w:r>
          </w:p>
        </w:tc>
        <w:tc>
          <w:tcPr>
            <w:tcW w:w="7938" w:type="dxa"/>
          </w:tcPr>
          <w:p w14:paraId="3DAAFC61" w14:textId="1E3E1EB4" w:rsidR="009F22AF" w:rsidRPr="007872E4" w:rsidRDefault="009F22AF" w:rsidP="00312FF3">
            <w:pPr>
              <w:spacing w:before="120" w:after="120" w:line="276" w:lineRule="auto"/>
              <w:jc w:val="both"/>
            </w:pPr>
            <w:r w:rsidRPr="007872E4">
              <w:t>Proiectul de act normativ nu se referă la acest subiect.</w:t>
            </w:r>
          </w:p>
        </w:tc>
      </w:tr>
      <w:tr w:rsidR="00520BE3" w:rsidRPr="007872E4" w14:paraId="5E9CE6CD" w14:textId="77777777" w:rsidTr="00312FF3">
        <w:trPr>
          <w:trHeight w:val="983"/>
        </w:trPr>
        <w:tc>
          <w:tcPr>
            <w:tcW w:w="2259" w:type="dxa"/>
          </w:tcPr>
          <w:p w14:paraId="78E5EC29" w14:textId="77777777" w:rsidR="00670C79" w:rsidRPr="007872E4" w:rsidRDefault="00670C79" w:rsidP="00C5468F">
            <w:pPr>
              <w:spacing w:after="120" w:line="276" w:lineRule="auto"/>
              <w:jc w:val="both"/>
              <w:rPr>
                <w:lang w:eastAsia="ro-RO"/>
              </w:rPr>
            </w:pPr>
            <w:r w:rsidRPr="007872E4">
              <w:rPr>
                <w:lang w:eastAsia="ro-RO"/>
              </w:rPr>
              <w:t>2.Schimbări preconizate</w:t>
            </w:r>
          </w:p>
        </w:tc>
        <w:tc>
          <w:tcPr>
            <w:tcW w:w="7938" w:type="dxa"/>
          </w:tcPr>
          <w:p w14:paraId="0B4E8F82" w14:textId="06EF1B32" w:rsidR="00757F29" w:rsidRDefault="001A1AE5" w:rsidP="00C5468F">
            <w:pPr>
              <w:widowControl w:val="0"/>
              <w:spacing w:after="120" w:line="276" w:lineRule="auto"/>
              <w:jc w:val="both"/>
              <w:rPr>
                <w:lang w:eastAsia="ro-RO"/>
              </w:rPr>
            </w:pPr>
            <w:r>
              <w:rPr>
                <w:lang w:eastAsia="ro-RO"/>
              </w:rPr>
              <w:t>Se propune</w:t>
            </w:r>
            <w:r w:rsidR="00757F29" w:rsidRPr="007872E4">
              <w:rPr>
                <w:lang w:eastAsia="ro-RO"/>
              </w:rPr>
              <w:t xml:space="preserve"> </w:t>
            </w:r>
            <w:bookmarkStart w:id="3" w:name="_Hlk74311866"/>
            <w:r w:rsidR="00757F29" w:rsidRPr="007872E4">
              <w:rPr>
                <w:lang w:eastAsia="ro-RO"/>
              </w:rPr>
              <w:t>reglementarea faptului că, doar pentru domeniile de transport CEF,  transferul sumelor necesare cofinanțării României, TVA, cheltuielilor neeligibile și contravaloarea sumelor aferente contribuției UE, care în conformitate cu prevederile acordurilor de finanțare se rambursează după finalizarea proiectului pentru proiectele finanțate în cadrul Mecanismului pentru Interconectarea Europei, se va face prin bugetul Ministerului Transporturilor și Infrastructurii</w:t>
            </w:r>
            <w:r>
              <w:rPr>
                <w:lang w:eastAsia="ro-RO"/>
              </w:rPr>
              <w:t>, prin modificarea alin. (6) a</w:t>
            </w:r>
            <w:r w:rsidR="00A27068">
              <w:rPr>
                <w:lang w:eastAsia="ro-RO"/>
              </w:rPr>
              <w:t>l</w:t>
            </w:r>
            <w:r>
              <w:rPr>
                <w:lang w:eastAsia="ro-RO"/>
              </w:rPr>
              <w:t xml:space="preserve"> art. 6 din OUG nr. 40/2015, cu modificările și completările ulterioare și </w:t>
            </w:r>
            <w:r w:rsidR="00A07A20">
              <w:rPr>
                <w:lang w:eastAsia="ro-RO"/>
              </w:rPr>
              <w:t>completarea cu un nou alineat,</w:t>
            </w:r>
            <w:r>
              <w:rPr>
                <w:lang w:eastAsia="ro-RO"/>
              </w:rPr>
              <w:t xml:space="preserve"> alin.</w:t>
            </w:r>
            <w:r w:rsidR="003A6698">
              <w:rPr>
                <w:lang w:eastAsia="ro-RO"/>
              </w:rPr>
              <w:t xml:space="preserve"> </w:t>
            </w:r>
            <w:r>
              <w:rPr>
                <w:lang w:eastAsia="ro-RO"/>
              </w:rPr>
              <w:t>(6</w:t>
            </w:r>
            <w:r w:rsidRPr="004E5AC7">
              <w:rPr>
                <w:vertAlign w:val="superscript"/>
                <w:lang w:eastAsia="ro-RO"/>
              </w:rPr>
              <w:t>2</w:t>
            </w:r>
            <w:r>
              <w:rPr>
                <w:lang w:eastAsia="ro-RO"/>
              </w:rPr>
              <w:t>) la același articol</w:t>
            </w:r>
            <w:bookmarkEnd w:id="3"/>
            <w:r w:rsidR="00757F29" w:rsidRPr="007872E4">
              <w:rPr>
                <w:lang w:eastAsia="ro-RO"/>
              </w:rPr>
              <w:t>.</w:t>
            </w:r>
          </w:p>
          <w:p w14:paraId="0148E6CF" w14:textId="72A70898" w:rsidR="004B254E" w:rsidRDefault="004B254E" w:rsidP="00C5468F">
            <w:pPr>
              <w:widowControl w:val="0"/>
              <w:spacing w:after="120" w:line="276" w:lineRule="auto"/>
              <w:jc w:val="both"/>
              <w:rPr>
                <w:lang w:eastAsia="ro-RO"/>
              </w:rPr>
            </w:pPr>
            <w:r>
              <w:rPr>
                <w:lang w:eastAsia="ro-RO"/>
              </w:rPr>
              <w:t>Se propune</w:t>
            </w:r>
            <w:r w:rsidRPr="007872E4">
              <w:rPr>
                <w:lang w:eastAsia="ro-RO"/>
              </w:rPr>
              <w:t xml:space="preserve"> reglementarea faptului că</w:t>
            </w:r>
            <w:r>
              <w:rPr>
                <w:lang w:eastAsia="ro-RO"/>
              </w:rPr>
              <w:t xml:space="preserve"> s</w:t>
            </w:r>
            <w:r w:rsidRPr="004B254E">
              <w:rPr>
                <w:lang w:eastAsia="ro-RO"/>
              </w:rPr>
              <w:t xml:space="preserve">umele necesare finalizării proiectelor </w:t>
            </w:r>
            <w:r w:rsidR="00736318">
              <w:rPr>
                <w:lang w:eastAsia="ro-RO"/>
              </w:rPr>
              <w:t xml:space="preserve">din domeniul transporturilor, </w:t>
            </w:r>
            <w:r w:rsidRPr="004B254E">
              <w:rPr>
                <w:lang w:eastAsia="ro-RO"/>
              </w:rPr>
              <w:t xml:space="preserve">preluate integral sau parțial </w:t>
            </w:r>
            <w:r w:rsidR="004C5C13">
              <w:rPr>
                <w:lang w:eastAsia="ro-RO"/>
              </w:rPr>
              <w:t xml:space="preserve">de la Ministerul Investițiilor și Proiectelor Europene, </w:t>
            </w:r>
            <w:r w:rsidR="004C5C13" w:rsidRPr="004C5C13">
              <w:rPr>
                <w:lang w:eastAsia="ro-RO"/>
              </w:rPr>
              <w:t>finanța</w:t>
            </w:r>
            <w:r w:rsidR="004C5C13">
              <w:rPr>
                <w:lang w:eastAsia="ro-RO"/>
              </w:rPr>
              <w:t>t</w:t>
            </w:r>
            <w:r w:rsidR="004C5C13" w:rsidRPr="004C5C13">
              <w:rPr>
                <w:lang w:eastAsia="ro-RO"/>
              </w:rPr>
              <w:t>e</w:t>
            </w:r>
            <w:r w:rsidR="004C5C13">
              <w:rPr>
                <w:lang w:eastAsia="ro-RO"/>
              </w:rPr>
              <w:t xml:space="preserve"> </w:t>
            </w:r>
            <w:r w:rsidRPr="004B254E">
              <w:rPr>
                <w:lang w:eastAsia="ro-RO"/>
              </w:rPr>
              <w:t>în cadrul Mecanismului MIE/CEF</w:t>
            </w:r>
            <w:r w:rsidR="004C5C13">
              <w:rPr>
                <w:lang w:eastAsia="ro-RO"/>
              </w:rPr>
              <w:t>,</w:t>
            </w:r>
            <w:r w:rsidRPr="004B254E">
              <w:rPr>
                <w:lang w:eastAsia="ro-RO"/>
              </w:rPr>
              <w:t xml:space="preserve"> se asigură de la bugetul de stat</w:t>
            </w:r>
            <w:r w:rsidR="00736318">
              <w:rPr>
                <w:lang w:eastAsia="ro-RO"/>
              </w:rPr>
              <w:t>, prin bugetul Ministerului Transporturilor și Infrastructurii,</w:t>
            </w:r>
            <w:r w:rsidRPr="004B254E">
              <w:rPr>
                <w:lang w:eastAsia="ro-RO"/>
              </w:rPr>
              <w:t xml:space="preserve"> urmând ca rambursarea cheltuielilor eligibile să fie efectuată conform regulilor stabilite de INEA în acordurile de finanțare semnate cu beneficiarii proiectelor</w:t>
            </w:r>
            <w:r>
              <w:rPr>
                <w:lang w:eastAsia="ro-RO"/>
              </w:rPr>
              <w:t>, prin includerea alin. (6</w:t>
            </w:r>
            <w:r w:rsidRPr="004B254E">
              <w:rPr>
                <w:vertAlign w:val="superscript"/>
                <w:lang w:eastAsia="ro-RO"/>
              </w:rPr>
              <w:t>3</w:t>
            </w:r>
            <w:r>
              <w:rPr>
                <w:lang w:eastAsia="ro-RO"/>
              </w:rPr>
              <w:t>) la articolul 6 din OUG nr. 40/2015, cu modificările și completările ulterioare.</w:t>
            </w:r>
          </w:p>
          <w:p w14:paraId="78E199B4" w14:textId="708007EC" w:rsidR="00624E3D" w:rsidRDefault="001A1AE5" w:rsidP="00C5468F">
            <w:pPr>
              <w:widowControl w:val="0"/>
              <w:spacing w:after="120" w:line="276" w:lineRule="auto"/>
              <w:jc w:val="both"/>
              <w:rPr>
                <w:lang w:eastAsia="ro-RO"/>
              </w:rPr>
            </w:pPr>
            <w:r>
              <w:rPr>
                <w:lang w:eastAsia="ro-RO"/>
              </w:rPr>
              <w:t>Se propune</w:t>
            </w:r>
            <w:r w:rsidRPr="007872E4">
              <w:rPr>
                <w:lang w:eastAsia="ro-RO"/>
              </w:rPr>
              <w:t xml:space="preserve"> </w:t>
            </w:r>
            <w:r w:rsidR="000260DD" w:rsidRPr="007872E4">
              <w:rPr>
                <w:lang w:eastAsia="ro-RO"/>
              </w:rPr>
              <w:t>reglementarea faptului că se va suporta de la bugetul de stat  cheltuiala cu taxa pe valoare</w:t>
            </w:r>
            <w:r w:rsidR="00A27068">
              <w:rPr>
                <w:lang w:eastAsia="ro-RO"/>
              </w:rPr>
              <w:t>a</w:t>
            </w:r>
            <w:r w:rsidR="000260DD" w:rsidRPr="007872E4">
              <w:rPr>
                <w:lang w:eastAsia="ro-RO"/>
              </w:rPr>
              <w:t xml:space="preserve"> adăugată aferentă categoriilor de cheltuieli eligibile din cadrul proiectelor </w:t>
            </w:r>
            <w:r w:rsidR="000260DD" w:rsidRPr="00725A79">
              <w:rPr>
                <w:lang w:eastAsia="ro-RO"/>
              </w:rPr>
              <w:t>privind extinderea rețelelor de gaze naturale finanțate</w:t>
            </w:r>
            <w:r w:rsidR="000260DD" w:rsidRPr="007872E4">
              <w:rPr>
                <w:lang w:eastAsia="ro-RO"/>
              </w:rPr>
              <w:t xml:space="preserve"> prin Programul Operațional Infrastructura Mare</w:t>
            </w:r>
            <w:r>
              <w:rPr>
                <w:lang w:eastAsia="ro-RO"/>
              </w:rPr>
              <w:t>,</w:t>
            </w:r>
            <w:r w:rsidR="00725A79">
              <w:rPr>
                <w:lang w:eastAsia="ro-RO"/>
              </w:rPr>
              <w:t xml:space="preserve"> </w:t>
            </w:r>
            <w:r w:rsidR="00725A79" w:rsidRPr="00725A79">
              <w:rPr>
                <w:lang w:eastAsia="ro-RO"/>
              </w:rPr>
              <w:t xml:space="preserve">precum și pentru proiectele din domeniul creșterii producției de energie din resurse regenerabile mai puțin exploatate (biomasă, biogaz, geotermal), </w:t>
            </w:r>
            <w:r>
              <w:rPr>
                <w:lang w:eastAsia="ro-RO"/>
              </w:rPr>
              <w:t>prin modificarea lit. o) de la art. 9 din OUG nr. 40/2015, cu modificările și completările ulterioare</w:t>
            </w:r>
            <w:r w:rsidRPr="007872E4">
              <w:rPr>
                <w:lang w:eastAsia="ro-RO"/>
              </w:rPr>
              <w:t>.</w:t>
            </w:r>
            <w:r>
              <w:rPr>
                <w:lang w:eastAsia="ro-RO"/>
              </w:rPr>
              <w:t xml:space="preserve"> Totodată, se propune </w:t>
            </w:r>
            <w:r>
              <w:rPr>
                <w:lang w:eastAsia="ro-RO"/>
              </w:rPr>
              <w:lastRenderedPageBreak/>
              <w:t>sistematizarea textului lit. o) pentru o mai bună înțelegere a obiectului reglementării.</w:t>
            </w:r>
          </w:p>
          <w:p w14:paraId="64C7DEAA" w14:textId="0D539672" w:rsidR="005444AB" w:rsidRDefault="005444AB" w:rsidP="00C5468F">
            <w:pPr>
              <w:widowControl w:val="0"/>
              <w:spacing w:after="120" w:line="276" w:lineRule="auto"/>
              <w:jc w:val="both"/>
              <w:rPr>
                <w:lang w:eastAsia="ro-RO"/>
              </w:rPr>
            </w:pPr>
            <w:r>
              <w:rPr>
                <w:lang w:eastAsia="ro-RO"/>
              </w:rPr>
              <w:t>Evoluția tarifului la energie electrică și gaze, coroborată cu ponderea cheltuielilor cu energia electrică din total cheltuieli de exploatare, creșterea prețurilor la materii prime și materiale necesare pentru activitatea de bază și costurile suplimentare necesare asigurării măsurilor igienico-sanitare a salariaților pentru combaterea pandemiei, au avut un impact negativ asupra situației economico-financiare. Astfel, s</w:t>
            </w:r>
            <w:r w:rsidR="00624E3D">
              <w:rPr>
                <w:lang w:eastAsia="ro-RO"/>
              </w:rPr>
              <w:t>e propune</w:t>
            </w:r>
            <w:r w:rsidR="00624E3D" w:rsidRPr="00624E3D">
              <w:rPr>
                <w:lang w:eastAsia="ro-RO"/>
              </w:rPr>
              <w:t xml:space="preserve"> reglementarea faptului că, prin Programul Operațional Infrastructura Mare, se va suporta de la bugetul de stat taxa pe valoare</w:t>
            </w:r>
            <w:r w:rsidR="00A27068">
              <w:rPr>
                <w:lang w:eastAsia="ro-RO"/>
              </w:rPr>
              <w:t>a</w:t>
            </w:r>
            <w:r w:rsidR="00624E3D" w:rsidRPr="00624E3D">
              <w:rPr>
                <w:lang w:eastAsia="ro-RO"/>
              </w:rPr>
              <w:t xml:space="preserve"> adăugată aferentă cheltuielilor </w:t>
            </w:r>
            <w:r w:rsidRPr="00624E3D">
              <w:rPr>
                <w:lang w:eastAsia="ro-RO"/>
              </w:rPr>
              <w:t>reprezentând</w:t>
            </w:r>
            <w:r w:rsidR="00624E3D" w:rsidRPr="00624E3D">
              <w:rPr>
                <w:lang w:eastAsia="ro-RO"/>
              </w:rPr>
              <w:t xml:space="preserve"> </w:t>
            </w:r>
            <w:r w:rsidRPr="00624E3D">
              <w:rPr>
                <w:lang w:eastAsia="ro-RO"/>
              </w:rPr>
              <w:t>diferenț</w:t>
            </w:r>
            <w:r w:rsidR="00A27068">
              <w:rPr>
                <w:lang w:eastAsia="ro-RO"/>
              </w:rPr>
              <w:t>a</w:t>
            </w:r>
            <w:r w:rsidR="00624E3D" w:rsidRPr="00624E3D">
              <w:rPr>
                <w:lang w:eastAsia="ro-RO"/>
              </w:rPr>
              <w:t xml:space="preserve"> dintre procentul </w:t>
            </w:r>
            <w:r w:rsidRPr="00624E3D">
              <w:rPr>
                <w:lang w:eastAsia="ro-RO"/>
              </w:rPr>
              <w:t>contribuției</w:t>
            </w:r>
            <w:r w:rsidR="00624E3D" w:rsidRPr="00624E3D">
              <w:rPr>
                <w:lang w:eastAsia="ro-RO"/>
              </w:rPr>
              <w:t xml:space="preserve"> proprii şi procentul echivalent al ratei forfetare pentru operatorii regionali care furnizează/prestează serviciul de alimentare cu apă </w:t>
            </w:r>
            <w:r w:rsidRPr="00624E3D">
              <w:rPr>
                <w:lang w:eastAsia="ro-RO"/>
              </w:rPr>
              <w:t>și</w:t>
            </w:r>
            <w:r w:rsidR="00624E3D" w:rsidRPr="00624E3D">
              <w:rPr>
                <w:lang w:eastAsia="ro-RO"/>
              </w:rPr>
              <w:t xml:space="preserve"> de canalizare pe raza </w:t>
            </w:r>
            <w:r w:rsidRPr="00624E3D">
              <w:rPr>
                <w:lang w:eastAsia="ro-RO"/>
              </w:rPr>
              <w:t>unităților</w:t>
            </w:r>
            <w:r w:rsidR="00624E3D" w:rsidRPr="00624E3D">
              <w:rPr>
                <w:lang w:eastAsia="ro-RO"/>
              </w:rPr>
              <w:t xml:space="preserve"> administrativ-teritoriale </w:t>
            </w:r>
            <w:r w:rsidRPr="00624E3D">
              <w:rPr>
                <w:lang w:eastAsia="ro-RO"/>
              </w:rPr>
              <w:t>Timiș</w:t>
            </w:r>
            <w:r w:rsidR="00624E3D" w:rsidRPr="00624E3D">
              <w:rPr>
                <w:lang w:eastAsia="ro-RO"/>
              </w:rPr>
              <w:t xml:space="preserve">, </w:t>
            </w:r>
            <w:r w:rsidRPr="00624E3D">
              <w:rPr>
                <w:lang w:eastAsia="ro-RO"/>
              </w:rPr>
              <w:t>Galați</w:t>
            </w:r>
            <w:r w:rsidR="00624E3D" w:rsidRPr="00624E3D">
              <w:rPr>
                <w:lang w:eastAsia="ro-RO"/>
              </w:rPr>
              <w:t>, Alba, Cluj şi Sălaj</w:t>
            </w:r>
            <w:r>
              <w:rPr>
                <w:lang w:eastAsia="ro-RO"/>
              </w:rPr>
              <w:t>, prin modificarea lit. t) de la art. 9 din OUG nr. 40/2015, cu modificările și completările ulterioare</w:t>
            </w:r>
            <w:r w:rsidRPr="007872E4">
              <w:rPr>
                <w:lang w:eastAsia="ro-RO"/>
              </w:rPr>
              <w:t>.</w:t>
            </w:r>
            <w:r>
              <w:rPr>
                <w:lang w:eastAsia="ro-RO"/>
              </w:rPr>
              <w:t xml:space="preserve">  </w:t>
            </w:r>
          </w:p>
          <w:p w14:paraId="7E501C7C" w14:textId="6AF483CE" w:rsidR="00D17BFC" w:rsidRDefault="005444AB" w:rsidP="00C5468F">
            <w:pPr>
              <w:widowControl w:val="0"/>
              <w:spacing w:after="120" w:line="276" w:lineRule="auto"/>
              <w:jc w:val="both"/>
              <w:rPr>
                <w:lang w:eastAsia="ro-RO"/>
              </w:rPr>
            </w:pPr>
            <w:r>
              <w:rPr>
                <w:lang w:eastAsia="ro-RO"/>
              </w:rPr>
              <w:t>L</w:t>
            </w:r>
            <w:r w:rsidRPr="005444AB">
              <w:rPr>
                <w:lang w:eastAsia="ro-RO"/>
              </w:rPr>
              <w:t xml:space="preserve">ipsa alocării urgente a </w:t>
            </w:r>
            <w:r>
              <w:rPr>
                <w:lang w:eastAsia="ro-RO"/>
              </w:rPr>
              <w:t>acestor</w:t>
            </w:r>
            <w:r w:rsidRPr="005444AB">
              <w:rPr>
                <w:lang w:eastAsia="ro-RO"/>
              </w:rPr>
              <w:t xml:space="preserve"> resurse suplimentare va </w:t>
            </w:r>
            <w:r>
              <w:rPr>
                <w:lang w:eastAsia="ro-RO"/>
              </w:rPr>
              <w:t>genera</w:t>
            </w:r>
            <w:r w:rsidRPr="005444AB">
              <w:rPr>
                <w:lang w:eastAsia="ro-RO"/>
              </w:rPr>
              <w:t xml:space="preserve"> dificult</w:t>
            </w:r>
            <w:r>
              <w:rPr>
                <w:lang w:eastAsia="ro-RO"/>
              </w:rPr>
              <w:t>ăți în derularea</w:t>
            </w:r>
            <w:r w:rsidRPr="005444AB">
              <w:rPr>
                <w:lang w:eastAsia="ro-RO"/>
              </w:rPr>
              <w:t xml:space="preserve"> activității de baza celor 4 operatori regionali și afectează buna implementare a proiectelor de investiții din fonduri nerambursabile.</w:t>
            </w:r>
          </w:p>
          <w:p w14:paraId="2DCCDFBC" w14:textId="05873FBE" w:rsidR="00725A79" w:rsidRPr="00725A79" w:rsidRDefault="00725A79" w:rsidP="00725A79">
            <w:pPr>
              <w:autoSpaceDE w:val="0"/>
              <w:autoSpaceDN w:val="0"/>
              <w:adjustRightInd w:val="0"/>
              <w:spacing w:after="120" w:line="276" w:lineRule="auto"/>
              <w:jc w:val="both"/>
              <w:rPr>
                <w:lang w:eastAsia="ro-RO"/>
              </w:rPr>
            </w:pPr>
            <w:r w:rsidRPr="00725A79">
              <w:rPr>
                <w:lang w:eastAsia="ro-RO"/>
              </w:rPr>
              <w:t xml:space="preserve">Se propune reglementarea faptului că pentru proiectele din sectorul de apă și apă uzată, aprobate la finanțare cu o rată forfetară, precum și pentru proiectele aprobate în baza contribuției beneficiarilor, autoritatea de management </w:t>
            </w:r>
            <w:r>
              <w:rPr>
                <w:lang w:eastAsia="ro-RO"/>
              </w:rPr>
              <w:t xml:space="preserve">să </w:t>
            </w:r>
            <w:r w:rsidRPr="00725A79">
              <w:rPr>
                <w:lang w:eastAsia="ro-RO"/>
              </w:rPr>
              <w:t>asigur</w:t>
            </w:r>
            <w:r>
              <w:rPr>
                <w:lang w:eastAsia="ro-RO"/>
              </w:rPr>
              <w:t>e</w:t>
            </w:r>
            <w:r w:rsidR="009055CC">
              <w:rPr>
                <w:lang w:eastAsia="ro-RO"/>
              </w:rPr>
              <w:t xml:space="preserve"> temporar</w:t>
            </w:r>
            <w:r w:rsidRPr="00725A79">
              <w:rPr>
                <w:lang w:eastAsia="ro-RO"/>
              </w:rPr>
              <w:t xml:space="preserve"> finanțarea unui procent de 6% din valoarea totală eligibilă a proiectului, din fonduri alocate de la bugetul de stat cu această </w:t>
            </w:r>
            <w:r w:rsidR="00680196" w:rsidRPr="00725A79">
              <w:rPr>
                <w:lang w:eastAsia="ro-RO"/>
              </w:rPr>
              <w:t>destinație</w:t>
            </w:r>
            <w:r w:rsidRPr="00725A79">
              <w:rPr>
                <w:lang w:eastAsia="ro-RO"/>
              </w:rPr>
              <w:t>.</w:t>
            </w:r>
          </w:p>
          <w:p w14:paraId="2A80D98E" w14:textId="31D2E85A" w:rsidR="00283DDB" w:rsidRDefault="00283DDB" w:rsidP="00725A79">
            <w:pPr>
              <w:widowControl w:val="0"/>
              <w:spacing w:after="120" w:line="276" w:lineRule="auto"/>
              <w:jc w:val="both"/>
              <w:rPr>
                <w:lang w:eastAsia="ro-RO"/>
              </w:rPr>
            </w:pPr>
            <w:r w:rsidRPr="00894B05">
              <w:rPr>
                <w:lang w:eastAsia="ro-RO"/>
              </w:rPr>
              <w:t xml:space="preserve">Se propune eliminarea sintagmei “cheltuielile eligibile fiind rambursate în </w:t>
            </w:r>
            <w:r w:rsidR="00680196" w:rsidRPr="00894B05">
              <w:rPr>
                <w:lang w:eastAsia="ro-RO"/>
              </w:rPr>
              <w:t>proporție</w:t>
            </w:r>
            <w:r w:rsidRPr="00894B05">
              <w:rPr>
                <w:lang w:eastAsia="ro-RO"/>
              </w:rPr>
              <w:t xml:space="preserve"> de 100% din fonduri europene” din cuprinsul alineatului (3</w:t>
            </w:r>
            <w:r w:rsidR="00BC2ED4" w:rsidRPr="00894B05">
              <w:rPr>
                <w:vertAlign w:val="superscript"/>
                <w:lang w:eastAsia="ro-RO"/>
              </w:rPr>
              <w:t>1</w:t>
            </w:r>
            <w:r w:rsidRPr="00894B05">
              <w:rPr>
                <w:lang w:eastAsia="ro-RO"/>
              </w:rPr>
              <w:t>) de la art. 18</w:t>
            </w:r>
            <w:r w:rsidRPr="00894B05">
              <w:rPr>
                <w:vertAlign w:val="superscript"/>
                <w:lang w:eastAsia="ro-RO"/>
              </w:rPr>
              <w:t>1</w:t>
            </w:r>
            <w:r w:rsidRPr="00894B05">
              <w:rPr>
                <w:lang w:eastAsia="ro-RO"/>
              </w:rPr>
              <w:t xml:space="preserve"> din OUG nr. 40/2015, cu modificările și completările ulterioare, pentru a respecta prevederile contractelor de finanțare și a prezentei ordonanțe de urgență, conform cărora sumele rambursate reprezintă contravaloarea contribuției aferente fondurilor europene și a contribuției aferente bugetului de stat</w:t>
            </w:r>
            <w:r w:rsidR="00BC2ED4" w:rsidRPr="00894B05">
              <w:rPr>
                <w:lang w:eastAsia="ro-RO"/>
              </w:rPr>
              <w:t>.</w:t>
            </w:r>
          </w:p>
          <w:p w14:paraId="50FCB0E3" w14:textId="6810CA95" w:rsidR="00725A79" w:rsidRPr="00680196" w:rsidRDefault="00680196" w:rsidP="00680196">
            <w:pPr>
              <w:pStyle w:val="NoSpacing"/>
              <w:spacing w:after="120" w:line="276"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Este </w:t>
            </w:r>
            <w:r w:rsidRPr="00680196">
              <w:rPr>
                <w:rFonts w:ascii="Times New Roman" w:eastAsia="Times New Roman" w:hAnsi="Times New Roman"/>
                <w:sz w:val="24"/>
                <w:szCs w:val="24"/>
                <w:lang w:val="ro-RO" w:eastAsia="ro-RO"/>
              </w:rPr>
              <w:t>necesară</w:t>
            </w:r>
            <w:r>
              <w:rPr>
                <w:rFonts w:ascii="Times New Roman" w:eastAsia="Times New Roman" w:hAnsi="Times New Roman"/>
                <w:sz w:val="24"/>
                <w:szCs w:val="24"/>
                <w:lang w:val="ro-RO" w:eastAsia="ro-RO"/>
              </w:rPr>
              <w:t>, de asemenea,</w:t>
            </w:r>
            <w:r w:rsidRPr="00680196">
              <w:rPr>
                <w:rFonts w:ascii="Times New Roman" w:eastAsia="Times New Roman" w:hAnsi="Times New Roman"/>
                <w:sz w:val="24"/>
                <w:szCs w:val="24"/>
                <w:lang w:val="ro-RO" w:eastAsia="ro-RO"/>
              </w:rPr>
              <w:t xml:space="preserve"> clarificarea faptului că obligația beneficiarilor de a contribui la finanțarea cheltuielilor din proiect, respectiv de a realiza lucrări din resurse proprii, se menține și după atingerea unui progres financiar de 75%</w:t>
            </w:r>
            <w:r>
              <w:rPr>
                <w:rFonts w:ascii="Times New Roman" w:eastAsia="Times New Roman" w:hAnsi="Times New Roman"/>
                <w:sz w:val="24"/>
                <w:szCs w:val="24"/>
                <w:lang w:val="ro-RO" w:eastAsia="ro-RO"/>
              </w:rPr>
              <w:t>. D</w:t>
            </w:r>
            <w:r w:rsidR="00725A79" w:rsidRPr="00680196">
              <w:rPr>
                <w:rFonts w:ascii="Times New Roman" w:eastAsia="Times New Roman" w:hAnsi="Times New Roman"/>
                <w:sz w:val="24"/>
                <w:szCs w:val="24"/>
                <w:lang w:val="ro-RO" w:eastAsia="ro-RO"/>
              </w:rPr>
              <w:t xml:space="preserve">upă atingerea progresului financiar de 75%, beneficiarii justifică procentul exceptat </w:t>
            </w:r>
            <w:r>
              <w:rPr>
                <w:rFonts w:ascii="Times New Roman" w:eastAsia="Times New Roman" w:hAnsi="Times New Roman"/>
                <w:sz w:val="24"/>
                <w:szCs w:val="24"/>
                <w:lang w:val="ro-RO" w:eastAsia="ro-RO"/>
              </w:rPr>
              <w:t xml:space="preserve">conform </w:t>
            </w:r>
            <w:r w:rsidRPr="00680196">
              <w:rPr>
                <w:rFonts w:ascii="Times New Roman" w:eastAsia="Times New Roman" w:hAnsi="Times New Roman"/>
                <w:sz w:val="24"/>
                <w:szCs w:val="24"/>
                <w:lang w:val="ro-RO" w:eastAsia="ro-RO"/>
              </w:rPr>
              <w:t>alineatului (3</w:t>
            </w:r>
            <w:r w:rsidRPr="00680196">
              <w:rPr>
                <w:rFonts w:ascii="Times New Roman" w:eastAsia="Times New Roman" w:hAnsi="Times New Roman"/>
                <w:sz w:val="24"/>
                <w:szCs w:val="24"/>
                <w:vertAlign w:val="superscript"/>
                <w:lang w:val="ro-RO" w:eastAsia="ro-RO"/>
              </w:rPr>
              <w:t>1</w:t>
            </w:r>
            <w:r w:rsidRPr="00680196">
              <w:rPr>
                <w:rFonts w:ascii="Times New Roman" w:eastAsia="Times New Roman" w:hAnsi="Times New Roman"/>
                <w:sz w:val="24"/>
                <w:szCs w:val="24"/>
                <w:lang w:val="ro-RO" w:eastAsia="ro-RO"/>
              </w:rPr>
              <w:t xml:space="preserve">) </w:t>
            </w:r>
            <w:r w:rsidR="00725A79" w:rsidRPr="00680196">
              <w:rPr>
                <w:rFonts w:ascii="Times New Roman" w:eastAsia="Times New Roman" w:hAnsi="Times New Roman"/>
                <w:sz w:val="24"/>
                <w:szCs w:val="24"/>
                <w:lang w:val="ro-RO" w:eastAsia="ro-RO"/>
              </w:rPr>
              <w:t>prin cheltuieli efectuate în cadrul proiectului sau fazei din proiectul finanțate în perioada de programare 2014-2020.</w:t>
            </w:r>
          </w:p>
          <w:p w14:paraId="23F1E56D" w14:textId="0095F773" w:rsidR="00C34562" w:rsidRPr="007872E4" w:rsidRDefault="009D1BA6" w:rsidP="00C5468F">
            <w:pPr>
              <w:widowControl w:val="0"/>
              <w:spacing w:after="120" w:line="276" w:lineRule="auto"/>
              <w:jc w:val="both"/>
              <w:rPr>
                <w:lang w:eastAsia="ro-RO"/>
              </w:rPr>
            </w:pPr>
            <w:r w:rsidRPr="007872E4">
              <w:rPr>
                <w:lang w:eastAsia="ro-RO"/>
              </w:rPr>
              <w:t>Pentru optimizarea fluxurilor financiare la nivelul POR 2014-2020 și evitarea întârzierilor</w:t>
            </w:r>
            <w:r w:rsidR="00C34562" w:rsidRPr="007872E4">
              <w:rPr>
                <w:lang w:eastAsia="ro-RO"/>
              </w:rPr>
              <w:t xml:space="preserve"> în procesarea cererilor de prefinanțare/plată/rambursare, precum și</w:t>
            </w:r>
            <w:r w:rsidRPr="007872E4">
              <w:rPr>
                <w:lang w:eastAsia="ro-RO"/>
              </w:rPr>
              <w:t xml:space="preserve"> în efectuarea plăților către beneficiari, </w:t>
            </w:r>
            <w:r w:rsidR="00DB0AC3">
              <w:rPr>
                <w:lang w:eastAsia="ro-RO"/>
              </w:rPr>
              <w:t>se propune</w:t>
            </w:r>
            <w:r w:rsidRPr="007872E4">
              <w:rPr>
                <w:lang w:eastAsia="ro-RO"/>
              </w:rPr>
              <w:t xml:space="preserve"> </w:t>
            </w:r>
            <w:r w:rsidR="00393638" w:rsidRPr="007872E4">
              <w:rPr>
                <w:lang w:eastAsia="ro-RO"/>
              </w:rPr>
              <w:t>stabilirea unei valori minime pentru cererile de rambursare depuse de beneficiari</w:t>
            </w:r>
            <w:r w:rsidR="0056358F" w:rsidRPr="007872E4">
              <w:rPr>
                <w:lang w:eastAsia="ro-RO"/>
              </w:rPr>
              <w:t>/lideri de parteneriat</w:t>
            </w:r>
            <w:r w:rsidR="00393638" w:rsidRPr="007872E4">
              <w:rPr>
                <w:lang w:eastAsia="ro-RO"/>
              </w:rPr>
              <w:t xml:space="preserve"> la autoritatea de management/organismele intermediare pentru POR. În acest context, se propune introducerea alin. (1</w:t>
            </w:r>
            <w:r w:rsidR="00393638" w:rsidRPr="007872E4">
              <w:rPr>
                <w:vertAlign w:val="superscript"/>
                <w:lang w:eastAsia="ro-RO"/>
              </w:rPr>
              <w:t>1</w:t>
            </w:r>
            <w:r w:rsidR="00393638" w:rsidRPr="007872E4">
              <w:rPr>
                <w:lang w:eastAsia="ro-RO"/>
              </w:rPr>
              <w:t>) la articolul 21 din OUG nr. 40/2015, cu modificările și completările ulterioare</w:t>
            </w:r>
            <w:r w:rsidR="00DB0AC3">
              <w:rPr>
                <w:lang w:eastAsia="ro-RO"/>
              </w:rPr>
              <w:t>.</w:t>
            </w:r>
            <w:r w:rsidR="00393638" w:rsidRPr="007872E4">
              <w:rPr>
                <w:lang w:eastAsia="ro-RO"/>
              </w:rPr>
              <w:t xml:space="preserve"> </w:t>
            </w:r>
            <w:r w:rsidR="00D17BFC">
              <w:rPr>
                <w:lang w:eastAsia="ro-RO"/>
              </w:rPr>
              <w:t xml:space="preserve">Introducerea acestei măsuri va conduce </w:t>
            </w:r>
            <w:r w:rsidR="00D17BFC">
              <w:rPr>
                <w:lang w:eastAsia="ro-RO"/>
              </w:rPr>
              <w:lastRenderedPageBreak/>
              <w:t>la accelerarea gradului de absorbție a fondurilor europene din POR</w:t>
            </w:r>
            <w:r w:rsidR="00786C9D">
              <w:rPr>
                <w:lang w:eastAsia="ro-RO"/>
              </w:rPr>
              <w:t xml:space="preserve"> </w:t>
            </w:r>
            <w:r w:rsidR="00D17BFC">
              <w:rPr>
                <w:lang w:eastAsia="ro-RO"/>
              </w:rPr>
              <w:t>2014-2020</w:t>
            </w:r>
            <w:r w:rsidR="00786C9D">
              <w:rPr>
                <w:lang w:eastAsia="ro-RO"/>
              </w:rPr>
              <w:t>.</w:t>
            </w:r>
          </w:p>
          <w:p w14:paraId="051F0C36" w14:textId="0696B692" w:rsidR="005338D3" w:rsidRDefault="008A44AD" w:rsidP="00C5468F">
            <w:pPr>
              <w:spacing w:after="120" w:line="276" w:lineRule="auto"/>
              <w:jc w:val="both"/>
              <w:rPr>
                <w:lang w:eastAsia="ro-RO"/>
              </w:rPr>
            </w:pPr>
            <w:r w:rsidRPr="007872E4">
              <w:rPr>
                <w:lang w:eastAsia="ro-RO"/>
              </w:rPr>
              <w:t xml:space="preserve">Pentru a putea fi puse în aplicare hotărârile judecătoreşti definitive prin care se admit parţial sau integral pretenţiile beneficiarilor/liderilor de parteneriat/partenerilor, inclusiv dobânzi penalizatoare şi cheltuieli de judecată în cuantumul stabilit prin hotărâre, </w:t>
            </w:r>
            <w:r w:rsidR="000F26C2">
              <w:rPr>
                <w:lang w:eastAsia="ro-RO"/>
              </w:rPr>
              <w:t>se propune</w:t>
            </w:r>
            <w:r w:rsidRPr="007872E4">
              <w:rPr>
                <w:lang w:eastAsia="ro-RO"/>
              </w:rPr>
              <w:t xml:space="preserve"> completarea </w:t>
            </w:r>
            <w:r w:rsidR="000F26C2">
              <w:rPr>
                <w:lang w:eastAsia="ro-RO"/>
              </w:rPr>
              <w:t>cu litera r) a</w:t>
            </w:r>
            <w:r w:rsidR="000F26C2" w:rsidRPr="007872E4">
              <w:rPr>
                <w:lang w:eastAsia="ro-RO"/>
              </w:rPr>
              <w:t xml:space="preserve"> </w:t>
            </w:r>
            <w:r w:rsidRPr="007872E4">
              <w:rPr>
                <w:lang w:eastAsia="ro-RO"/>
              </w:rPr>
              <w:t>articolului 8</w:t>
            </w:r>
            <w:r w:rsidR="000F26C2">
              <w:rPr>
                <w:lang w:eastAsia="ro-RO"/>
              </w:rPr>
              <w:t xml:space="preserve"> </w:t>
            </w:r>
            <w:r w:rsidR="00AE7624">
              <w:rPr>
                <w:lang w:eastAsia="ro-RO"/>
              </w:rPr>
              <w:t xml:space="preserve"> </w:t>
            </w:r>
            <w:r w:rsidR="00AE7624" w:rsidRPr="00894B05">
              <w:rPr>
                <w:lang w:eastAsia="ro-RO"/>
              </w:rPr>
              <w:t>ş</w:t>
            </w:r>
            <w:r w:rsidR="00AE7624">
              <w:rPr>
                <w:lang w:eastAsia="ro-RO"/>
              </w:rPr>
              <w:t xml:space="preserve">i cu litera n) a articolului 9 </w:t>
            </w:r>
            <w:r w:rsidRPr="007872E4">
              <w:rPr>
                <w:lang w:eastAsia="ro-RO"/>
              </w:rPr>
              <w:t>din OUG nr. 64/2009, cu modificările și completările ulterioare, prin prinderea acestor sume în bugetele ordonatorilor principali de credite cu rol de Autoritate de management pentru programele operaţionale care utilizează mecanismul plăţii indirecte.</w:t>
            </w:r>
          </w:p>
          <w:p w14:paraId="7B9CBAB8" w14:textId="3EB0D2A3" w:rsidR="003258B6" w:rsidRPr="007872E4" w:rsidRDefault="003258B6" w:rsidP="00C5468F">
            <w:pPr>
              <w:spacing w:after="120" w:line="276" w:lineRule="auto"/>
              <w:jc w:val="both"/>
              <w:rPr>
                <w:lang w:eastAsia="ro-RO"/>
              </w:rPr>
            </w:pPr>
            <w:r>
              <w:rPr>
                <w:lang w:eastAsia="ro-RO"/>
              </w:rPr>
              <w:t xml:space="preserve">În vederea </w:t>
            </w:r>
            <w:r w:rsidRPr="006565D1">
              <w:rPr>
                <w:lang w:eastAsia="ro-RO"/>
              </w:rPr>
              <w:t xml:space="preserve">contractării de proiecte este imperios necesară </w:t>
            </w:r>
            <w:r w:rsidRPr="003258B6">
              <w:rPr>
                <w:lang w:eastAsia="ro-RO"/>
              </w:rPr>
              <w:t>introducerea Capitolul</w:t>
            </w:r>
            <w:r>
              <w:rPr>
                <w:lang w:eastAsia="ro-RO"/>
              </w:rPr>
              <w:t>ui</w:t>
            </w:r>
            <w:r w:rsidRPr="003258B6">
              <w:rPr>
                <w:lang w:eastAsia="ro-RO"/>
              </w:rPr>
              <w:t xml:space="preserve"> IV</w:t>
            </w:r>
            <w:r w:rsidRPr="00607CBB">
              <w:rPr>
                <w:vertAlign w:val="superscript"/>
                <w:lang w:eastAsia="ro-RO"/>
              </w:rPr>
              <w:t>2</w:t>
            </w:r>
            <w:r w:rsidRPr="003258B6">
              <w:rPr>
                <w:lang w:eastAsia="ro-RO"/>
              </w:rPr>
              <w:t xml:space="preserve"> Decizia de reziliere a contractului de finanțare la OUG nr. 64/2009 cu prevederi referitoare la recuperarea prin alte titluri de creanță</w:t>
            </w:r>
            <w:r w:rsidRPr="006565D1">
              <w:rPr>
                <w:lang w:eastAsia="ro-RO"/>
              </w:rPr>
              <w:t>.</w:t>
            </w:r>
          </w:p>
          <w:p w14:paraId="21C6C1C5" w14:textId="78D8C32C" w:rsidR="00095300" w:rsidRPr="00095300" w:rsidRDefault="008E5DAF" w:rsidP="00C5468F">
            <w:pPr>
              <w:spacing w:after="120" w:line="276" w:lineRule="auto"/>
              <w:jc w:val="both"/>
              <w:rPr>
                <w:sz w:val="23"/>
                <w:szCs w:val="23"/>
              </w:rPr>
            </w:pPr>
            <w:r w:rsidRPr="007872E4">
              <w:rPr>
                <w:lang w:eastAsia="ro-RO"/>
              </w:rPr>
              <w:t xml:space="preserve">În vederea asigurării unui flux suplimentar de numerar la nivelul operatorilor economici, prefinanțarea acordată pentru proiectele finanțate din Fondul european de dezvoltare regională, Fondul de coeziune, Fondul social european, Fondul de ajutor european destinat celor mai defavorizate persoane se </w:t>
            </w:r>
            <w:r w:rsidR="00FA0D5C">
              <w:rPr>
                <w:lang w:eastAsia="ro-RO"/>
              </w:rPr>
              <w:t xml:space="preserve">propune acordarea </w:t>
            </w:r>
            <w:r w:rsidRPr="007872E4">
              <w:rPr>
                <w:lang w:eastAsia="ro-RO"/>
              </w:rPr>
              <w:t xml:space="preserve"> pentru beneficiari, </w:t>
            </w:r>
            <w:r w:rsidR="00FA0D5C">
              <w:rPr>
                <w:lang w:eastAsia="ro-RO"/>
              </w:rPr>
              <w:t xml:space="preserve">a unei tranșe de </w:t>
            </w:r>
            <w:r w:rsidRPr="007872E4">
              <w:rPr>
                <w:b/>
                <w:bCs/>
                <w:i/>
                <w:iCs/>
                <w:lang w:eastAsia="ro-RO"/>
              </w:rPr>
              <w:t>maxim 30% din valoarea eligibilă a proiectului</w:t>
            </w:r>
            <w:r w:rsidRPr="007872E4">
              <w:rPr>
                <w:lang w:eastAsia="ro-RO"/>
              </w:rPr>
              <w:t xml:space="preserve">, </w:t>
            </w:r>
            <w:r w:rsidR="00095300" w:rsidRPr="00095300">
              <w:rPr>
                <w:lang w:eastAsia="ro-RO"/>
              </w:rPr>
              <w:t xml:space="preserve">e condiționată de existența în implementare contracte de achiziție de produse, echipamente, lucrări sau contracte de achiziții de servicii pentru documentațiile tehnico-economice aferente actelor juridice prevăzute la art. 13 lit. b) din </w:t>
            </w:r>
            <w:bookmarkStart w:id="4" w:name="_Hlk93322849"/>
            <w:r w:rsidR="00095300" w:rsidRPr="00095300">
              <w:rPr>
                <w:lang w:eastAsia="ro-RO"/>
              </w:rPr>
              <w:t xml:space="preserve">OUG nr. 88/2020 </w:t>
            </w:r>
            <w:bookmarkEnd w:id="4"/>
            <w:r w:rsidR="00095300" w:rsidRPr="00095300">
              <w:rPr>
                <w:lang w:eastAsia="ro-RO"/>
              </w:rPr>
              <w:t xml:space="preserve">privind instituirea unor măsuri, precum şi acordarea unui sprijin financiar pentru pregătirea portofoliului de proiecte în domenii strategice considerate prioritare pentru perioada de programare 2021-2027, destinat finanțării prin Programul operațional Asistență tehnică 2014-2020 (POAT 2014-2020). </w:t>
            </w:r>
            <w:r w:rsidR="00095300">
              <w:rPr>
                <w:lang w:eastAsia="ro-RO"/>
              </w:rPr>
              <w:t xml:space="preserve">Astfel, </w:t>
            </w:r>
            <w:r w:rsidR="00095300" w:rsidRPr="00095300">
              <w:rPr>
                <w:lang w:eastAsia="ro-RO"/>
              </w:rPr>
              <w:t xml:space="preserve">actul normativ a fost completat astfel încât prefinanțarea de maxim 30% din valoarea eligibilă a proiectului să poată fi acordată și beneficiarilor POAT expuși lipsei lichidităților în derularea proiectelor - administratori ai schemei de ajutor de stat și de minimis privind unele măsuri pentru pregătirea portofoliului de proiecte destinat finanțării din fonduri externe nerambursabile, pentru perioada de programare 2021-2027, în domeniul specializării inteligente aprobată prin OMFE nr. 894/2020,  </w:t>
            </w:r>
            <w:r w:rsidR="00095300" w:rsidRPr="00095300">
              <w:rPr>
                <w:sz w:val="23"/>
                <w:szCs w:val="23"/>
              </w:rPr>
              <w:t>în vederea asigurării unui flux suplimentar de numerar pentru aceștia.</w:t>
            </w:r>
          </w:p>
          <w:p w14:paraId="27DAB134" w14:textId="275985F1" w:rsidR="00BD1014" w:rsidRPr="007872E4" w:rsidRDefault="00BD1014" w:rsidP="00C5468F">
            <w:pPr>
              <w:spacing w:after="120" w:line="276" w:lineRule="auto"/>
              <w:jc w:val="both"/>
              <w:rPr>
                <w:bCs/>
                <w:lang w:eastAsia="ro-RO"/>
              </w:rPr>
            </w:pPr>
            <w:r w:rsidRPr="007872E4">
              <w:rPr>
                <w:lang w:eastAsia="ro-RO"/>
              </w:rPr>
              <w:t xml:space="preserve">Având în vedere contextul actual, este de anticipat că efectuarea cheltuielilor </w:t>
            </w:r>
            <w:r w:rsidR="005338D3" w:rsidRPr="007872E4">
              <w:rPr>
                <w:lang w:eastAsia="ro-RO"/>
              </w:rPr>
              <w:t xml:space="preserve">din cadrul proiectelor </w:t>
            </w:r>
            <w:r w:rsidRPr="007872E4">
              <w:rPr>
                <w:lang w:eastAsia="ro-RO"/>
              </w:rPr>
              <w:t>se va realiza cu întârziere ținând cont de sincopele ce au intervenit deja în lanțurile de aprovizionare. În plus, lipsa resurselor umane este de așteptat să afecteze toate verigile mecanismului de plată către furnizori/prestatori/antreprenori. De exemplu, verificarea situațiilor de lucrări nu se va putea realiza în mod efectiv în teren în termenele stabilite prin contracte / proceduri. În acest sens se impune și prelungirea termenului de justificare</w:t>
            </w:r>
            <w:r w:rsidR="00833990" w:rsidRPr="007872E4">
              <w:rPr>
                <w:lang w:eastAsia="ro-RO"/>
              </w:rPr>
              <w:t xml:space="preserve"> a prefinanţării primite</w:t>
            </w:r>
            <w:r w:rsidRPr="007872E4">
              <w:rPr>
                <w:lang w:eastAsia="ro-RO"/>
              </w:rPr>
              <w:t>, respectiv b</w:t>
            </w:r>
            <w:r w:rsidRPr="007872E4">
              <w:rPr>
                <w:bCs/>
                <w:lang w:eastAsia="ro-RO"/>
              </w:rPr>
              <w:t xml:space="preserve">eneficiarii/liderii de parteneriat au obligația depunerii unei/unor cereri de rambursare care să cuprindă cheltuielile efectuate din tranșa de prefinanțare acordată, </w:t>
            </w:r>
            <w:r w:rsidRPr="007872E4">
              <w:rPr>
                <w:bCs/>
                <w:i/>
                <w:lang w:eastAsia="ro-RO"/>
              </w:rPr>
              <w:t xml:space="preserve">în cuantum cumulat de minimum 50% din </w:t>
            </w:r>
            <w:r w:rsidRPr="007872E4">
              <w:rPr>
                <w:bCs/>
                <w:i/>
                <w:lang w:eastAsia="ro-RO"/>
              </w:rPr>
              <w:lastRenderedPageBreak/>
              <w:t>valoarea acesteia</w:t>
            </w:r>
            <w:r w:rsidRPr="007872E4">
              <w:rPr>
                <w:bCs/>
                <w:lang w:eastAsia="ro-RO"/>
              </w:rPr>
              <w:t xml:space="preserve">, </w:t>
            </w:r>
            <w:r w:rsidRPr="007872E4">
              <w:rPr>
                <w:b/>
                <w:bCs/>
                <w:i/>
                <w:lang w:eastAsia="ro-RO"/>
              </w:rPr>
              <w:t>în termen de maximum 180 de zile calendaristice</w:t>
            </w:r>
            <w:r w:rsidRPr="007872E4">
              <w:rPr>
                <w:bCs/>
                <w:lang w:eastAsia="ro-RO"/>
              </w:rPr>
              <w:t xml:space="preserve"> de la data la care autoritatea de management a virat tranșa de prefinanțare în contul beneficiarului, fără a depăși durata contractului de finanțare; aceste prevederi se aplică cererilor de prefinanțare depuse după data intrării în vigoare a prezentei ordonanțe de urgență</w:t>
            </w:r>
            <w:r w:rsidR="00FA0D5C">
              <w:rPr>
                <w:bCs/>
                <w:lang w:eastAsia="ro-RO"/>
              </w:rPr>
              <w:t>.</w:t>
            </w:r>
          </w:p>
          <w:p w14:paraId="0BCCDD94" w14:textId="2EC4612D" w:rsidR="00BD1014" w:rsidRPr="007872E4" w:rsidRDefault="00833990" w:rsidP="00C5468F">
            <w:pPr>
              <w:spacing w:after="120" w:line="276" w:lineRule="auto"/>
              <w:jc w:val="both"/>
              <w:rPr>
                <w:lang w:eastAsia="ro-RO"/>
              </w:rPr>
            </w:pPr>
            <w:r w:rsidRPr="007872E4">
              <w:rPr>
                <w:lang w:eastAsia="ro-RO"/>
              </w:rPr>
              <w:t>De asemenea, se impune e</w:t>
            </w:r>
            <w:r w:rsidR="00BD1014" w:rsidRPr="007872E4">
              <w:rPr>
                <w:lang w:eastAsia="ro-RO"/>
              </w:rPr>
              <w:t xml:space="preserve">xtinderea termenului în care </w:t>
            </w:r>
            <w:r w:rsidR="00BD1014" w:rsidRPr="007872E4">
              <w:rPr>
                <w:bCs/>
                <w:lang w:eastAsia="ro-RO"/>
              </w:rPr>
              <w:t xml:space="preserve"> beneficiarii/liderii de parteneriat/partenerii</w:t>
            </w:r>
            <w:r w:rsidR="00BD1014" w:rsidRPr="007872E4">
              <w:rPr>
                <w:lang w:eastAsia="ro-RO"/>
              </w:rPr>
              <w:t xml:space="preserve"> au obligația de a face dovada plății contribuției proprii, respectiv </w:t>
            </w:r>
            <w:r w:rsidR="00BD1014" w:rsidRPr="007872E4">
              <w:rPr>
                <w:bCs/>
                <w:lang w:eastAsia="ro-RO"/>
              </w:rPr>
              <w:t>cel mai târziu până la data depunerii cererii de rambursare aferentă cererii de plată, acțiune care</w:t>
            </w:r>
            <w:r w:rsidR="00BD1014" w:rsidRPr="007872E4">
              <w:rPr>
                <w:lang w:eastAsia="ro-RO"/>
              </w:rPr>
              <w:t xml:space="preserve"> vizează asigurarea, pentru o perioadă scurtă, a unui flux suplimentar de numerar la nivelul beneficiarilor</w:t>
            </w:r>
            <w:r w:rsidR="00FA0D5C">
              <w:rPr>
                <w:lang w:eastAsia="ro-RO"/>
              </w:rPr>
              <w:t>.</w:t>
            </w:r>
            <w:r w:rsidR="00BD1014" w:rsidRPr="007872E4">
              <w:rPr>
                <w:lang w:eastAsia="ro-RO"/>
              </w:rPr>
              <w:t xml:space="preserve">   </w:t>
            </w:r>
          </w:p>
          <w:p w14:paraId="4D5D2765" w14:textId="7A4CD8CD" w:rsidR="00BD1014" w:rsidRPr="007872E4" w:rsidRDefault="00BD1014" w:rsidP="00C5468F">
            <w:pPr>
              <w:spacing w:after="120" w:line="276" w:lineRule="auto"/>
              <w:jc w:val="both"/>
              <w:rPr>
                <w:lang w:eastAsia="ro-RO"/>
              </w:rPr>
            </w:pPr>
            <w:r w:rsidRPr="007872E4">
              <w:rPr>
                <w:lang w:eastAsia="ro-RO"/>
              </w:rPr>
              <w:t xml:space="preserve">Reducerea capacității de lucru a resurselor umane necesare la nivelul UIP-urilor, constând în imposibilitatea angajaților de a se deplasa la locul de muncă sau la locul de implementare a proiectelor, dificultatea înregistrării în sistemul informatic a documentelor/informațiilor aferente cererilor de rambursare în cazul în care angajații lucrează în telemuncă/muncă la domiciliu, riscul impunerii stării de izolare/carantină pentru unii dintre angajații beneficiarilor/contractorilor, concedii medicale, zile libere pentru supravegherea copiilor, măsuri de distanțare socială și restricții de circulație impuse, </w:t>
            </w:r>
            <w:r w:rsidR="00833990" w:rsidRPr="007872E4">
              <w:rPr>
                <w:lang w:eastAsia="ro-RO"/>
              </w:rPr>
              <w:t>justifică măsura de</w:t>
            </w:r>
            <w:r w:rsidRPr="007872E4">
              <w:rPr>
                <w:lang w:eastAsia="ro-RO"/>
              </w:rPr>
              <w:t xml:space="preserve"> prelungire</w:t>
            </w:r>
            <w:r w:rsidR="00833990" w:rsidRPr="007872E4">
              <w:rPr>
                <w:lang w:eastAsia="ro-RO"/>
              </w:rPr>
              <w:t xml:space="preserve"> </w:t>
            </w:r>
            <w:r w:rsidRPr="007872E4">
              <w:rPr>
                <w:lang w:eastAsia="ro-RO"/>
              </w:rPr>
              <w:t xml:space="preserve">a termenului maxim ȋn care </w:t>
            </w:r>
            <w:r w:rsidRPr="007872E4">
              <w:rPr>
                <w:bCs/>
                <w:lang w:eastAsia="ro-RO"/>
              </w:rPr>
              <w:t xml:space="preserve">beneficiarii au obligația de a depune cererea de rambursare aferentă cererii de plată la organismul intermediar/autoritatea de management. </w:t>
            </w:r>
            <w:r w:rsidRPr="007872E4">
              <w:rPr>
                <w:lang w:eastAsia="ro-RO"/>
              </w:rPr>
              <w:t>Lipsa resurselor umane necesare la nivelul UIP-urilor determină și necesitatea prelungirii termenului ȋn care b</w:t>
            </w:r>
            <w:r w:rsidRPr="007872E4">
              <w:rPr>
                <w:bCs/>
                <w:lang w:eastAsia="ro-RO"/>
              </w:rPr>
              <w:t xml:space="preserve">eneficiarii/liderii de parteneriat au obligația de a depune la autoritățile de management/organismele intermediare cereri de rambursare pentru </w:t>
            </w:r>
            <w:r w:rsidRPr="007872E4">
              <w:rPr>
                <w:lang w:eastAsia="ro-RO"/>
              </w:rPr>
              <w:t>cheltuielile efectuate</w:t>
            </w:r>
            <w:r w:rsidR="001A1AE5">
              <w:rPr>
                <w:lang w:eastAsia="ro-RO"/>
              </w:rPr>
              <w:t xml:space="preserve">. </w:t>
            </w:r>
            <w:r w:rsidR="001A1AE5" w:rsidRPr="001A1AE5">
              <w:rPr>
                <w:lang w:eastAsia="ro-RO"/>
              </w:rPr>
              <w:t>În cazul Programului Operațional Regional, cuantumul minim al cererii de rambursare astfel cum este propus a fi introdus la art. I pct. 9 din acest proiect de act normativ va fi aplicat atât pe perioada flexibilizării termenului prevăzut în legislație pentru verificarea și autorizarea diferitelor tipuri de cereri depuse de beneficiari, respectiv până la 31.12.</w:t>
            </w:r>
            <w:r w:rsidR="00607CBB" w:rsidRPr="001A1AE5">
              <w:rPr>
                <w:lang w:eastAsia="ro-RO"/>
              </w:rPr>
              <w:t>202</w:t>
            </w:r>
            <w:r w:rsidR="00607CBB">
              <w:rPr>
                <w:lang w:eastAsia="ro-RO"/>
              </w:rPr>
              <w:t>2</w:t>
            </w:r>
            <w:r w:rsidR="001A1AE5" w:rsidRPr="001A1AE5">
              <w:rPr>
                <w:lang w:eastAsia="ro-RO"/>
              </w:rPr>
              <w:t>, cât și ulterior acestei date.</w:t>
            </w:r>
          </w:p>
          <w:p w14:paraId="591A1BD3" w14:textId="77777777" w:rsidR="00FA0D5C" w:rsidRDefault="00FA0D5C" w:rsidP="00C5468F">
            <w:pPr>
              <w:spacing w:after="120" w:line="276" w:lineRule="auto"/>
              <w:jc w:val="both"/>
              <w:rPr>
                <w:lang w:eastAsia="ro-RO"/>
              </w:rPr>
            </w:pPr>
            <w:r w:rsidRPr="00FA0D5C">
              <w:rPr>
                <w:lang w:eastAsia="ro-RO"/>
              </w:rPr>
              <w:t>În acest fel, este diminuat riscul de reziliere a contractelor de finanțare ca urmare a accesului limitat al beneficiarilor la resursele umane necesare pregătirii documentelor aferente prefinanţărilor/cererilor de plată/cererilor de rambursare.</w:t>
            </w:r>
          </w:p>
          <w:p w14:paraId="029A0400" w14:textId="5E8820FD" w:rsidR="00833990" w:rsidRPr="007872E4" w:rsidRDefault="00BD1014" w:rsidP="00C5468F">
            <w:pPr>
              <w:spacing w:after="120" w:line="276" w:lineRule="auto"/>
              <w:jc w:val="both"/>
              <w:rPr>
                <w:lang w:eastAsia="ro-RO"/>
              </w:rPr>
            </w:pPr>
            <w:r w:rsidRPr="007872E4">
              <w:rPr>
                <w:lang w:eastAsia="ro-RO"/>
              </w:rPr>
              <w:t xml:space="preserve">De asemenea, organismul intermediar/autoritatea de management efectuează verificarea cererii de plată în termen prelungit de maximum </w:t>
            </w:r>
            <w:r w:rsidRPr="007872E4">
              <w:rPr>
                <w:b/>
                <w:i/>
                <w:lang w:eastAsia="ro-RO"/>
              </w:rPr>
              <w:t>30 de zile lucrătoare</w:t>
            </w:r>
            <w:r w:rsidRPr="007872E4">
              <w:rPr>
                <w:lang w:eastAsia="ro-RO"/>
              </w:rPr>
              <w:t xml:space="preserve"> de la data depunerii acesteia de către beneficiar/liderul de parteneriat</w:t>
            </w:r>
            <w:r w:rsidR="00833990" w:rsidRPr="007872E4">
              <w:rPr>
                <w:lang w:eastAsia="ro-RO"/>
              </w:rPr>
              <w:t xml:space="preserve"> și </w:t>
            </w:r>
            <w:r w:rsidR="00833990" w:rsidRPr="007872E4">
              <w:rPr>
                <w:bCs/>
                <w:lang w:eastAsia="ro-RO"/>
              </w:rPr>
              <w:t xml:space="preserve">autorizează cheltuielile eligibile cuprinse în cererea de rambursare, ȋn </w:t>
            </w:r>
            <w:r w:rsidR="00833990" w:rsidRPr="007872E4">
              <w:rPr>
                <w:b/>
                <w:bCs/>
                <w:i/>
                <w:lang w:eastAsia="ro-RO"/>
              </w:rPr>
              <w:t>maximum 30 de zile lucrătoare</w:t>
            </w:r>
            <w:r w:rsidR="00833990" w:rsidRPr="007872E4">
              <w:rPr>
                <w:bCs/>
                <w:lang w:eastAsia="ro-RO"/>
              </w:rPr>
              <w:t xml:space="preserve">  de la data depunerii de către beneficiar/liderul de parteneriat a cererii de rambursare întocmite conform contractului/ deciziei/ordinului de finanțare</w:t>
            </w:r>
            <w:r w:rsidR="00833990" w:rsidRPr="007872E4">
              <w:rPr>
                <w:lang w:eastAsia="ro-RO"/>
              </w:rPr>
              <w:t>, în contextul justificărilor menționate de mai sus, legate de disponibilitatea resursel</w:t>
            </w:r>
            <w:r w:rsidR="00A07A20">
              <w:rPr>
                <w:lang w:eastAsia="ro-RO"/>
              </w:rPr>
              <w:t>or</w:t>
            </w:r>
            <w:r w:rsidR="00833990" w:rsidRPr="007872E4">
              <w:rPr>
                <w:lang w:eastAsia="ro-RO"/>
              </w:rPr>
              <w:t xml:space="preserve"> umane.</w:t>
            </w:r>
          </w:p>
          <w:p w14:paraId="3684CD84" w14:textId="5BAB91FF" w:rsidR="00BD1014" w:rsidRPr="007872E4" w:rsidRDefault="00BD1014" w:rsidP="00C5468F">
            <w:pPr>
              <w:spacing w:after="120" w:line="276" w:lineRule="auto"/>
              <w:jc w:val="both"/>
              <w:rPr>
                <w:bCs/>
                <w:lang w:eastAsia="ro-RO"/>
              </w:rPr>
            </w:pPr>
            <w:r w:rsidRPr="007872E4">
              <w:rPr>
                <w:bCs/>
                <w:lang w:eastAsia="ro-RO"/>
              </w:rPr>
              <w:t xml:space="preserve">Flexibilizarea termenelor și condițiilor procedurale stabilite prin Ordonanța de urgență a Guvernului nr. 40/2015, se aplică pentru toate cererile de prefinanțare, </w:t>
            </w:r>
            <w:r w:rsidRPr="007872E4">
              <w:rPr>
                <w:bCs/>
                <w:lang w:eastAsia="ro-RO"/>
              </w:rPr>
              <w:lastRenderedPageBreak/>
              <w:t>cererile de plată și cererile de rambursare transmise și înregistrate la autoritatea de management/organismul intermediar</w:t>
            </w:r>
            <w:r w:rsidR="00762A5C">
              <w:rPr>
                <w:bCs/>
                <w:lang w:eastAsia="ro-RO"/>
              </w:rPr>
              <w:t>,</w:t>
            </w:r>
            <w:r w:rsidRPr="007872E4">
              <w:rPr>
                <w:bCs/>
                <w:lang w:eastAsia="ro-RO"/>
              </w:rPr>
              <w:t xml:space="preserve"> </w:t>
            </w:r>
            <w:r w:rsidR="00762A5C">
              <w:rPr>
                <w:bCs/>
                <w:lang w:eastAsia="ro-RO"/>
              </w:rPr>
              <w:t xml:space="preserve">aferente </w:t>
            </w:r>
            <w:r w:rsidR="00762A5C" w:rsidRPr="00762A5C">
              <w:rPr>
                <w:bCs/>
                <w:lang w:eastAsia="ro-RO"/>
              </w:rPr>
              <w:t>Programului Operațional Asistență Tehnică, Programului Operațional Capital Uman, Programului Operațional Competitivitate și Programului Operațional Regional</w:t>
            </w:r>
            <w:r w:rsidR="00762A5C">
              <w:rPr>
                <w:bCs/>
                <w:lang w:eastAsia="ro-RO"/>
              </w:rPr>
              <w:t xml:space="preserve">, </w:t>
            </w:r>
            <w:r w:rsidRPr="007872E4">
              <w:rPr>
                <w:bCs/>
                <w:lang w:eastAsia="ro-RO"/>
              </w:rPr>
              <w:t>până cel târziu 31 decembrie 202</w:t>
            </w:r>
            <w:r w:rsidR="00A81CED">
              <w:rPr>
                <w:bCs/>
                <w:lang w:eastAsia="ro-RO"/>
              </w:rPr>
              <w:t>2</w:t>
            </w:r>
            <w:r w:rsidRPr="007872E4">
              <w:rPr>
                <w:bCs/>
                <w:lang w:eastAsia="ro-RO"/>
              </w:rPr>
              <w:t>. Începutul termenelor menționate în proiectul de OUG trebuie să fie înainte de 31 decembrie 202</w:t>
            </w:r>
            <w:r w:rsidR="00A81CED">
              <w:rPr>
                <w:bCs/>
                <w:lang w:eastAsia="ro-RO"/>
              </w:rPr>
              <w:t>2</w:t>
            </w:r>
            <w:r w:rsidRPr="007872E4">
              <w:rPr>
                <w:bCs/>
                <w:lang w:eastAsia="ro-RO"/>
              </w:rPr>
              <w:t>, putând continua să curgă în 202</w:t>
            </w:r>
            <w:r w:rsidR="00A80470">
              <w:rPr>
                <w:bCs/>
                <w:lang w:eastAsia="ro-RO"/>
              </w:rPr>
              <w:t>3</w:t>
            </w:r>
            <w:r w:rsidRPr="007872E4">
              <w:rPr>
                <w:bCs/>
                <w:lang w:eastAsia="ro-RO"/>
              </w:rPr>
              <w:t>, până la atingerea limitei maxime stabilite pentru fiecare termen.</w:t>
            </w:r>
          </w:p>
          <w:p w14:paraId="7AED006B" w14:textId="0A247B8B" w:rsidR="00BD1014" w:rsidRDefault="00BD1014" w:rsidP="00C5468F">
            <w:pPr>
              <w:spacing w:after="120" w:line="276" w:lineRule="auto"/>
              <w:jc w:val="both"/>
              <w:rPr>
                <w:lang w:eastAsia="ro-RO"/>
              </w:rPr>
            </w:pPr>
            <w:r w:rsidRPr="007872E4">
              <w:rPr>
                <w:lang w:eastAsia="ro-RO"/>
              </w:rPr>
              <w:t xml:space="preserve">Extinderea cu 10 zile lucrătoare a </w:t>
            </w:r>
            <w:r w:rsidRPr="007872E4">
              <w:rPr>
                <w:bCs/>
                <w:lang w:eastAsia="ro-RO"/>
              </w:rPr>
              <w:t>termenelor maxime</w:t>
            </w:r>
            <w:r w:rsidRPr="007872E4">
              <w:rPr>
                <w:lang w:eastAsia="ro-RO"/>
              </w:rPr>
              <w:t xml:space="preserve"> prevăzute în legislație </w:t>
            </w:r>
            <w:r w:rsidR="00E51892" w:rsidRPr="007872E4">
              <w:rPr>
                <w:lang w:eastAsia="ro-RO"/>
              </w:rPr>
              <w:t xml:space="preserve">pentru verificarea și autorizarea diferitelor tipuri de cereri depuse de beneficiari </w:t>
            </w:r>
            <w:r w:rsidRPr="007872E4">
              <w:rPr>
                <w:lang w:eastAsia="ro-RO"/>
              </w:rPr>
              <w:t xml:space="preserve">este </w:t>
            </w:r>
            <w:r w:rsidRPr="007872E4">
              <w:rPr>
                <w:bCs/>
                <w:lang w:eastAsia="ro-RO"/>
              </w:rPr>
              <w:t>o măsura temporară</w:t>
            </w:r>
            <w:r w:rsidRPr="007872E4">
              <w:rPr>
                <w:lang w:eastAsia="ro-RO"/>
              </w:rPr>
              <w:t xml:space="preserve">, menită să acopere acele </w:t>
            </w:r>
            <w:r w:rsidRPr="007872E4">
              <w:rPr>
                <w:bCs/>
                <w:lang w:eastAsia="ro-RO"/>
              </w:rPr>
              <w:t>situații izolate</w:t>
            </w:r>
            <w:r w:rsidRPr="007872E4">
              <w:rPr>
                <w:lang w:eastAsia="ro-RO"/>
              </w:rPr>
              <w:t xml:space="preserve"> caracterizate de reducerea capacității de lucru a resurselor umane necesare la nivelul autorităților de management, care pot rezulta din imposibilitatea angajaților de a se deplasa la locul de muncă sau in vizitele la fata locului, dificultatea acoperirii prin sistemul informatic a tuturor utilizatorilor din AM/OI care procesează cererile de plata/rambursare în cazul în care angajații lucrează în telemuncă/muncă la domiciliu, riscul impunerii stării de izolare/carantină pentru unii dintre angajați, concedii medicale, zile libere pentru supravegherea copiilor, măsuri de distanțare socială și restricții de circulație impuse.</w:t>
            </w:r>
          </w:p>
          <w:p w14:paraId="00AD3408" w14:textId="74A8BCED" w:rsidR="001776C1" w:rsidRPr="007872E4" w:rsidRDefault="001776C1" w:rsidP="00C5468F">
            <w:pPr>
              <w:spacing w:after="120" w:line="276" w:lineRule="auto"/>
              <w:jc w:val="both"/>
              <w:rPr>
                <w:lang w:eastAsia="ro-RO"/>
              </w:rPr>
            </w:pPr>
            <w:r w:rsidRPr="007872E4">
              <w:rPr>
                <w:lang w:eastAsia="ro-RO"/>
              </w:rPr>
              <w:t>Caracterul de urgență al prezentului act normativ este impus de următoarele considerente:</w:t>
            </w:r>
          </w:p>
          <w:p w14:paraId="0FB1C61D" w14:textId="60BA93F4" w:rsidR="001776C1" w:rsidRPr="007872E4" w:rsidRDefault="001776C1" w:rsidP="00C5468F">
            <w:pPr>
              <w:pStyle w:val="ListParagraph"/>
              <w:numPr>
                <w:ilvl w:val="0"/>
                <w:numId w:val="6"/>
              </w:numPr>
              <w:shd w:val="clear" w:color="auto" w:fill="FFFFFF" w:themeFill="background1"/>
              <w:spacing w:after="120" w:line="276" w:lineRule="auto"/>
              <w:contextualSpacing w:val="0"/>
              <w:jc w:val="both"/>
              <w:rPr>
                <w:rFonts w:ascii="Times New Roman" w:hAnsi="Times New Roman" w:cs="Times New Roman"/>
                <w:lang w:eastAsia="ro-RO"/>
              </w:rPr>
            </w:pPr>
            <w:r w:rsidRPr="007872E4">
              <w:rPr>
                <w:rFonts w:ascii="Times New Roman" w:hAnsi="Times New Roman" w:cs="Times New Roman"/>
                <w:lang w:eastAsia="ro-RO"/>
              </w:rPr>
              <w:t>Un risc major identificat în domeniul gestiunii fondurilor europene este apariția blocajelor în implementarea proiectelor aprobate la finanțare, ceea ce va avea impact negativ direct asupra țintei de plăți asumată de autoritățile române pentru anul 202</w:t>
            </w:r>
            <w:r w:rsidR="00A81CED">
              <w:rPr>
                <w:rFonts w:ascii="Times New Roman" w:hAnsi="Times New Roman" w:cs="Times New Roman"/>
                <w:lang w:eastAsia="ro-RO"/>
              </w:rPr>
              <w:t>2</w:t>
            </w:r>
            <w:r w:rsidRPr="007872E4">
              <w:rPr>
                <w:rFonts w:ascii="Times New Roman" w:hAnsi="Times New Roman" w:cs="Times New Roman"/>
                <w:lang w:eastAsia="ro-RO"/>
              </w:rPr>
              <w:t>.</w:t>
            </w:r>
          </w:p>
          <w:p w14:paraId="634A000D" w14:textId="63C08246" w:rsidR="0049586B" w:rsidRDefault="0049586B" w:rsidP="00C5468F">
            <w:pPr>
              <w:pStyle w:val="ListParagraph"/>
              <w:numPr>
                <w:ilvl w:val="0"/>
                <w:numId w:val="6"/>
              </w:numPr>
              <w:shd w:val="clear" w:color="auto" w:fill="FFFFFF" w:themeFill="background1"/>
              <w:spacing w:after="120" w:line="276" w:lineRule="auto"/>
              <w:contextualSpacing w:val="0"/>
              <w:jc w:val="both"/>
              <w:rPr>
                <w:rFonts w:ascii="Times New Roman" w:hAnsi="Times New Roman" w:cs="Times New Roman"/>
                <w:lang w:eastAsia="ro-RO"/>
              </w:rPr>
            </w:pPr>
            <w:r w:rsidRPr="007872E4">
              <w:rPr>
                <w:rFonts w:ascii="Times New Roman" w:hAnsi="Times New Roman" w:cs="Times New Roman"/>
                <w:lang w:eastAsia="ro-RO"/>
              </w:rPr>
              <w:t xml:space="preserve">Riscul crescut de blocaje în cadrul proiectelor privind extinderea rețelelor de gaze naturale în lipsa adoptării măsurilor de la art. I pct. </w:t>
            </w:r>
            <w:r w:rsidR="00965DE3">
              <w:rPr>
                <w:rFonts w:ascii="Times New Roman" w:hAnsi="Times New Roman" w:cs="Times New Roman"/>
                <w:lang w:eastAsia="ro-RO"/>
              </w:rPr>
              <w:t>3</w:t>
            </w:r>
            <w:r w:rsidRPr="007872E4">
              <w:rPr>
                <w:rFonts w:ascii="Times New Roman" w:hAnsi="Times New Roman" w:cs="Times New Roman"/>
                <w:lang w:eastAsia="ro-RO"/>
              </w:rPr>
              <w:t xml:space="preserve">, ținând cont de faptul că unitățile administrativ-teritoriale se confruntă cu o diminuare substanțială a bugetelor locale. </w:t>
            </w:r>
          </w:p>
          <w:p w14:paraId="779C433A" w14:textId="77777777" w:rsidR="00095300" w:rsidRDefault="005444AB" w:rsidP="00C5468F">
            <w:pPr>
              <w:pStyle w:val="ListParagraph"/>
              <w:numPr>
                <w:ilvl w:val="0"/>
                <w:numId w:val="6"/>
              </w:numPr>
              <w:shd w:val="clear" w:color="auto" w:fill="FFFFFF" w:themeFill="background1"/>
              <w:spacing w:after="120" w:line="276" w:lineRule="auto"/>
              <w:contextualSpacing w:val="0"/>
              <w:jc w:val="both"/>
              <w:rPr>
                <w:rFonts w:ascii="Times New Roman" w:hAnsi="Times New Roman" w:cs="Times New Roman"/>
                <w:lang w:eastAsia="ro-RO"/>
              </w:rPr>
            </w:pPr>
            <w:r w:rsidRPr="00095300">
              <w:rPr>
                <w:rFonts w:ascii="Times New Roman" w:hAnsi="Times New Roman" w:cs="Times New Roman"/>
                <w:lang w:eastAsia="ro-RO"/>
              </w:rPr>
              <w:t>Dificultăți în derularea activității de baza a operatorilor regionali care furnizează/prestează serviciul de alimentare cu apă şi de canalizare pe raza unităților administrativ-teritoriale Timiș, Galați, Alba, Cluj și Sălaj și afectarea bunei implementări a proiectelor de investiții din fonduri nerambursabile</w:t>
            </w:r>
            <w:r w:rsidR="00965DE3" w:rsidRPr="00095300">
              <w:rPr>
                <w:rFonts w:ascii="Times New Roman" w:hAnsi="Times New Roman" w:cs="Times New Roman"/>
                <w:lang w:eastAsia="ro-RO"/>
              </w:rPr>
              <w:t xml:space="preserve"> în l</w:t>
            </w:r>
            <w:r w:rsidRPr="00BE7875">
              <w:rPr>
                <w:rFonts w:ascii="Times New Roman" w:hAnsi="Times New Roman" w:cs="Times New Roman"/>
                <w:lang w:eastAsia="ro-RO"/>
              </w:rPr>
              <w:t xml:space="preserve">ipsa </w:t>
            </w:r>
            <w:r w:rsidR="00965DE3" w:rsidRPr="00BE7875">
              <w:rPr>
                <w:rFonts w:ascii="Times New Roman" w:hAnsi="Times New Roman" w:cs="Times New Roman"/>
                <w:lang w:eastAsia="ro-RO"/>
              </w:rPr>
              <w:t>adoptării măsurilor de la art. I pct. 3.</w:t>
            </w:r>
          </w:p>
          <w:p w14:paraId="40F93FFF" w14:textId="40CC06B3" w:rsidR="008A44AD" w:rsidRDefault="008A44AD" w:rsidP="00C5468F">
            <w:pPr>
              <w:pStyle w:val="ListParagraph"/>
              <w:numPr>
                <w:ilvl w:val="0"/>
                <w:numId w:val="6"/>
              </w:numPr>
              <w:shd w:val="clear" w:color="auto" w:fill="FFFFFF" w:themeFill="background1"/>
              <w:spacing w:after="120" w:line="276" w:lineRule="auto"/>
              <w:contextualSpacing w:val="0"/>
              <w:jc w:val="both"/>
              <w:rPr>
                <w:rFonts w:ascii="Times New Roman" w:hAnsi="Times New Roman" w:cs="Times New Roman"/>
                <w:lang w:eastAsia="ro-RO"/>
              </w:rPr>
            </w:pPr>
            <w:r w:rsidRPr="007872E4">
              <w:rPr>
                <w:rFonts w:ascii="Times New Roman" w:hAnsi="Times New Roman" w:cs="Times New Roman"/>
                <w:lang w:eastAsia="ro-RO"/>
              </w:rPr>
              <w:t>Imposibilitatea</w:t>
            </w:r>
            <w:r w:rsidR="00377E94" w:rsidRPr="007872E4">
              <w:rPr>
                <w:rFonts w:ascii="Times New Roman" w:hAnsi="Times New Roman" w:cs="Times New Roman"/>
                <w:lang w:eastAsia="ro-RO"/>
              </w:rPr>
              <w:t xml:space="preserve"> achitării tuturor sumelor care rezultă din hotărârile definitive ale instanțelor</w:t>
            </w:r>
            <w:r w:rsidRPr="007872E4">
              <w:rPr>
                <w:rFonts w:ascii="Times New Roman" w:hAnsi="Times New Roman" w:cs="Times New Roman"/>
                <w:lang w:eastAsia="ro-RO"/>
              </w:rPr>
              <w:t xml:space="preserve"> prin care se admit parţial sau integral pretenţiile beneficiarilor/liderilor de parteneriat/partenerilor, inclusiv dobânzi penalizatoare şi cheltuieli de judecată în cuantumul stabilit prin hotărâre, orice întârziere în adoptarea completării OUG </w:t>
            </w:r>
            <w:r w:rsidR="00FA0D5C">
              <w:rPr>
                <w:rFonts w:ascii="Times New Roman" w:hAnsi="Times New Roman" w:cs="Times New Roman"/>
                <w:lang w:eastAsia="ro-RO"/>
              </w:rPr>
              <w:t xml:space="preserve">nr. </w:t>
            </w:r>
            <w:r w:rsidRPr="007872E4">
              <w:rPr>
                <w:rFonts w:ascii="Times New Roman" w:hAnsi="Times New Roman" w:cs="Times New Roman"/>
                <w:lang w:eastAsia="ro-RO"/>
              </w:rPr>
              <w:t>64/2009, cu modificările și completările ulterioare, generând costuri suplimentare, reprezentate de penalități pentru neplata sumelor datorate.</w:t>
            </w:r>
          </w:p>
          <w:p w14:paraId="02140BAE" w14:textId="7AA7CC37" w:rsidR="00F3755A" w:rsidRDefault="00F3755A" w:rsidP="00C5468F">
            <w:pPr>
              <w:pStyle w:val="ListParagraph"/>
              <w:numPr>
                <w:ilvl w:val="0"/>
                <w:numId w:val="6"/>
              </w:numPr>
              <w:shd w:val="clear" w:color="auto" w:fill="FFFFFF" w:themeFill="background1"/>
              <w:spacing w:after="120" w:line="276" w:lineRule="auto"/>
              <w:contextualSpacing w:val="0"/>
              <w:jc w:val="both"/>
              <w:rPr>
                <w:rFonts w:ascii="Times New Roman" w:hAnsi="Times New Roman" w:cs="Times New Roman"/>
                <w:lang w:eastAsia="ro-RO"/>
              </w:rPr>
            </w:pPr>
            <w:r>
              <w:rPr>
                <w:rFonts w:ascii="Times New Roman" w:hAnsi="Times New Roman" w:cs="Times New Roman"/>
                <w:lang w:eastAsia="ro-RO"/>
              </w:rPr>
              <w:lastRenderedPageBreak/>
              <w:t>R</w:t>
            </w:r>
            <w:r w:rsidR="0027308F">
              <w:rPr>
                <w:rFonts w:ascii="Times New Roman" w:hAnsi="Times New Roman" w:cs="Times New Roman"/>
                <w:lang w:eastAsia="ro-RO"/>
              </w:rPr>
              <w:t>i</w:t>
            </w:r>
            <w:r>
              <w:rPr>
                <w:rFonts w:ascii="Times New Roman" w:hAnsi="Times New Roman" w:cs="Times New Roman"/>
                <w:lang w:eastAsia="ro-RO"/>
              </w:rPr>
              <w:t>scul crescut</w:t>
            </w:r>
            <w:r w:rsidRPr="00F3755A">
              <w:rPr>
                <w:rFonts w:ascii="Times New Roman" w:hAnsi="Times New Roman" w:cs="Times New Roman"/>
                <w:lang w:eastAsia="ro-RO"/>
              </w:rPr>
              <w:t xml:space="preserve"> de reziliere a contractelor de finanțare ca urmare a accesului limitat al beneficiarilor la resursele umane necesare pregătirii documentelor aferente prefinanțărilor/cererilor de plată/cererilor de rambursare, se impune flexibilizarea termenelor procedurale stabilite prin Ordonanța de urgență a Guvernului nr. 40/2015, cu modificările și completările ulterioare</w:t>
            </w:r>
            <w:r w:rsidR="005F3C57">
              <w:rPr>
                <w:rFonts w:ascii="Times New Roman" w:hAnsi="Times New Roman" w:cs="Times New Roman"/>
                <w:lang w:eastAsia="ro-RO"/>
              </w:rPr>
              <w:t xml:space="preserve">, pentru </w:t>
            </w:r>
            <w:r w:rsidR="005F3C57" w:rsidRPr="005F3C57">
              <w:rPr>
                <w:rFonts w:ascii="Times New Roman" w:hAnsi="Times New Roman" w:cs="Times New Roman"/>
                <w:lang w:eastAsia="ro-RO"/>
              </w:rPr>
              <w:t>proiectel</w:t>
            </w:r>
            <w:r w:rsidR="005F3C57">
              <w:rPr>
                <w:rFonts w:ascii="Times New Roman" w:hAnsi="Times New Roman" w:cs="Times New Roman"/>
                <w:lang w:eastAsia="ro-RO"/>
              </w:rPr>
              <w:t>e</w:t>
            </w:r>
            <w:r w:rsidR="005F3C57" w:rsidRPr="005F3C57">
              <w:rPr>
                <w:rFonts w:ascii="Times New Roman" w:hAnsi="Times New Roman" w:cs="Times New Roman"/>
                <w:lang w:eastAsia="ro-RO"/>
              </w:rPr>
              <w:t xml:space="preserve"> aferente perioadei de programare 2014-2020 finanțate din Programul Operațional Capital Uman, Programul Operațional Competitivitate</w:t>
            </w:r>
            <w:r w:rsidR="005F3C57">
              <w:rPr>
                <w:rFonts w:ascii="Times New Roman" w:hAnsi="Times New Roman" w:cs="Times New Roman"/>
                <w:lang w:eastAsia="ro-RO"/>
              </w:rPr>
              <w:t>,</w:t>
            </w:r>
            <w:r w:rsidR="005F3C57" w:rsidRPr="005F3C57">
              <w:rPr>
                <w:rFonts w:ascii="Times New Roman" w:hAnsi="Times New Roman" w:cs="Times New Roman"/>
                <w:lang w:eastAsia="ro-RO"/>
              </w:rPr>
              <w:t xml:space="preserve"> Programul Operațional Regional</w:t>
            </w:r>
            <w:r w:rsidR="005F3C57">
              <w:rPr>
                <w:rFonts w:ascii="Times New Roman" w:hAnsi="Times New Roman" w:cs="Times New Roman"/>
                <w:lang w:eastAsia="ro-RO"/>
              </w:rPr>
              <w:t xml:space="preserve"> și</w:t>
            </w:r>
            <w:r w:rsidR="005F3C57" w:rsidRPr="005F3C57">
              <w:rPr>
                <w:rFonts w:ascii="Times New Roman" w:hAnsi="Times New Roman" w:cs="Times New Roman"/>
                <w:lang w:eastAsia="ro-RO"/>
              </w:rPr>
              <w:t xml:space="preserve"> a anumitor proiecte finanțate din Programul Operațional Asistență Tehnică</w:t>
            </w:r>
            <w:r>
              <w:rPr>
                <w:rFonts w:ascii="Times New Roman" w:hAnsi="Times New Roman" w:cs="Times New Roman"/>
                <w:lang w:eastAsia="ro-RO"/>
              </w:rPr>
              <w:t>.</w:t>
            </w:r>
          </w:p>
          <w:p w14:paraId="4EB05AEC" w14:textId="37FCAAAF" w:rsidR="00BD1014" w:rsidRPr="007872E4" w:rsidRDefault="00153B2A" w:rsidP="00C5468F">
            <w:pPr>
              <w:spacing w:after="120" w:line="276" w:lineRule="auto"/>
              <w:jc w:val="both"/>
              <w:rPr>
                <w:lang w:eastAsia="ro-RO"/>
              </w:rPr>
            </w:pPr>
            <w:r w:rsidRPr="007872E4">
              <w:rPr>
                <w:lang w:eastAsia="ro-RO"/>
              </w:rPr>
              <w:t>Elementele sus menționate vizează interesul public și strategic, sunt o prioritate a Programului de guvernare și constituie o situație de urgență și extraordinară, a cărei reglementare nu poate fi amânată pentru a asigura premisele unui grad ridicat de absorbție</w:t>
            </w:r>
            <w:r w:rsidR="00AD159C" w:rsidRPr="007872E4">
              <w:rPr>
                <w:lang w:eastAsia="ro-RO"/>
              </w:rPr>
              <w:t>, eliminarea riscului de pierdere de fonduri evitarea întârzierilor în implementarea proiectelor de infrastructură.</w:t>
            </w:r>
          </w:p>
        </w:tc>
      </w:tr>
      <w:tr w:rsidR="006449AD" w:rsidRPr="007872E4" w14:paraId="4F0A040E" w14:textId="77777777" w:rsidTr="00312FF3">
        <w:trPr>
          <w:trHeight w:val="740"/>
        </w:trPr>
        <w:tc>
          <w:tcPr>
            <w:tcW w:w="2259" w:type="dxa"/>
          </w:tcPr>
          <w:p w14:paraId="444F22DC" w14:textId="5FE41470" w:rsidR="00670C79" w:rsidRPr="007872E4" w:rsidRDefault="00670C79" w:rsidP="00312FF3">
            <w:pPr>
              <w:spacing w:line="276" w:lineRule="auto"/>
              <w:jc w:val="both"/>
            </w:pPr>
            <w:r w:rsidRPr="007872E4">
              <w:lastRenderedPageBreak/>
              <w:t>3.Alte informaţii</w:t>
            </w:r>
          </w:p>
        </w:tc>
        <w:tc>
          <w:tcPr>
            <w:tcW w:w="7938" w:type="dxa"/>
          </w:tcPr>
          <w:p w14:paraId="33DA0BF8" w14:textId="25BC9BB6" w:rsidR="0025682E" w:rsidRPr="007872E4" w:rsidRDefault="00670C79" w:rsidP="00312FF3">
            <w:pPr>
              <w:widowControl w:val="0"/>
              <w:autoSpaceDE w:val="0"/>
              <w:autoSpaceDN w:val="0"/>
              <w:adjustRightInd w:val="0"/>
              <w:spacing w:line="276" w:lineRule="auto"/>
              <w:jc w:val="both"/>
            </w:pPr>
            <w:r w:rsidRPr="007872E4">
              <w:rPr>
                <w:lang w:eastAsia="ro-RO"/>
              </w:rPr>
              <w:t xml:space="preserve">Amânarea </w:t>
            </w:r>
            <w:r w:rsidR="002E3AFC" w:rsidRPr="007872E4">
              <w:rPr>
                <w:lang w:eastAsia="ro-RO"/>
              </w:rPr>
              <w:t>adoptării măsurilor propuse ar aduce grave prejudicii, cu efecte pe termen lung asupra proiectelor aflate în pregătire sau în implementare</w:t>
            </w:r>
            <w:r w:rsidRPr="007872E4">
              <w:rPr>
                <w:iCs/>
                <w:lang w:eastAsia="ro-RO"/>
              </w:rPr>
              <w:t>.</w:t>
            </w:r>
          </w:p>
        </w:tc>
      </w:tr>
    </w:tbl>
    <w:p w14:paraId="2DB4CCB7" w14:textId="77777777" w:rsidR="003864F6" w:rsidRDefault="00DB715E" w:rsidP="003864F6">
      <w:pPr>
        <w:spacing w:line="276" w:lineRule="auto"/>
        <w:rPr>
          <w:b/>
        </w:rPr>
      </w:pPr>
      <w:r w:rsidRPr="007872E4">
        <w:rPr>
          <w:b/>
        </w:rPr>
        <w:t xml:space="preserve">   </w:t>
      </w:r>
      <w:r w:rsidR="007C16BF" w:rsidRPr="007872E4">
        <w:rPr>
          <w:b/>
        </w:rPr>
        <w:t xml:space="preserve">   </w:t>
      </w:r>
    </w:p>
    <w:p w14:paraId="4E4A7A8E" w14:textId="6A72629F" w:rsidR="00670C79" w:rsidRDefault="007C16BF" w:rsidP="003864F6">
      <w:pPr>
        <w:spacing w:line="276" w:lineRule="auto"/>
        <w:ind w:left="720"/>
        <w:rPr>
          <w:b/>
        </w:rPr>
      </w:pPr>
      <w:r w:rsidRPr="007872E4">
        <w:rPr>
          <w:b/>
        </w:rPr>
        <w:t xml:space="preserve"> </w:t>
      </w:r>
      <w:r w:rsidR="003864F6" w:rsidRPr="007872E4">
        <w:rPr>
          <w:b/>
        </w:rPr>
        <w:t>Secțiunea</w:t>
      </w:r>
      <w:r w:rsidR="00670C79" w:rsidRPr="007872E4">
        <w:rPr>
          <w:b/>
        </w:rPr>
        <w:t xml:space="preserve"> a 3-a - Impactul socio-economic al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7556"/>
      </w:tblGrid>
      <w:tr w:rsidR="00520BE3" w:rsidRPr="007872E4" w14:paraId="4F7B7B5A" w14:textId="77777777" w:rsidTr="006A5A1B">
        <w:tc>
          <w:tcPr>
            <w:tcW w:w="2684" w:type="dxa"/>
          </w:tcPr>
          <w:p w14:paraId="1A4C81E4" w14:textId="63864073" w:rsidR="00670C79" w:rsidRPr="007872E4" w:rsidRDefault="00670C79" w:rsidP="00312FF3">
            <w:pPr>
              <w:spacing w:line="276" w:lineRule="auto"/>
            </w:pPr>
            <w:r w:rsidRPr="007872E4">
              <w:t>1. Impactul macro</w:t>
            </w:r>
            <w:r w:rsidR="009F22AF" w:rsidRPr="007872E4">
              <w:t xml:space="preserve">- </w:t>
            </w:r>
            <w:r w:rsidRPr="007872E4">
              <w:t>economic</w:t>
            </w:r>
          </w:p>
        </w:tc>
        <w:tc>
          <w:tcPr>
            <w:tcW w:w="7556" w:type="dxa"/>
            <w:vAlign w:val="center"/>
          </w:tcPr>
          <w:p w14:paraId="041FB550" w14:textId="4762FE52" w:rsidR="0025682E" w:rsidRPr="007872E4" w:rsidRDefault="004C0503" w:rsidP="00312FF3">
            <w:pPr>
              <w:spacing w:line="276" w:lineRule="auto"/>
              <w:jc w:val="both"/>
            </w:pPr>
            <w:r w:rsidRPr="007872E4">
              <w:t>Prezentul act normativ nu se referă la acest subiect.</w:t>
            </w:r>
          </w:p>
        </w:tc>
      </w:tr>
      <w:tr w:rsidR="00520BE3" w:rsidRPr="007872E4" w14:paraId="11154DDC" w14:textId="77777777" w:rsidTr="006A5A1B">
        <w:tc>
          <w:tcPr>
            <w:tcW w:w="2684" w:type="dxa"/>
          </w:tcPr>
          <w:p w14:paraId="4F381BDD" w14:textId="77777777" w:rsidR="00670C79" w:rsidRPr="007872E4" w:rsidRDefault="00670C79" w:rsidP="00312FF3">
            <w:pPr>
              <w:spacing w:line="276" w:lineRule="auto"/>
              <w:jc w:val="both"/>
            </w:pPr>
            <w:r w:rsidRPr="007872E4">
              <w:t>1</w:t>
            </w:r>
            <w:r w:rsidRPr="007872E4">
              <w:rPr>
                <w:vertAlign w:val="superscript"/>
              </w:rPr>
              <w:t>1</w:t>
            </w:r>
            <w:r w:rsidRPr="007872E4">
              <w:t>. Impactul asupra mediului concurenţial şi domeniului ajutoarelor de stat</w:t>
            </w:r>
          </w:p>
        </w:tc>
        <w:tc>
          <w:tcPr>
            <w:tcW w:w="7556" w:type="dxa"/>
            <w:vAlign w:val="center"/>
          </w:tcPr>
          <w:p w14:paraId="3691C3E7" w14:textId="77777777" w:rsidR="00670C79" w:rsidRPr="007872E4" w:rsidRDefault="00670C79" w:rsidP="00312FF3">
            <w:pPr>
              <w:spacing w:line="276" w:lineRule="auto"/>
              <w:jc w:val="both"/>
            </w:pPr>
            <w:r w:rsidRPr="007872E4">
              <w:t>Proiectul de act normativ nu se referă la acest subiect.</w:t>
            </w:r>
          </w:p>
        </w:tc>
      </w:tr>
      <w:tr w:rsidR="00520BE3" w:rsidRPr="007872E4" w14:paraId="2B719308" w14:textId="77777777" w:rsidTr="006A5A1B">
        <w:tc>
          <w:tcPr>
            <w:tcW w:w="2684" w:type="dxa"/>
          </w:tcPr>
          <w:p w14:paraId="7958BBB2" w14:textId="77777777" w:rsidR="00670C79" w:rsidRPr="007872E4" w:rsidRDefault="00670C79" w:rsidP="00312FF3">
            <w:pPr>
              <w:spacing w:line="276" w:lineRule="auto"/>
            </w:pPr>
            <w:r w:rsidRPr="007872E4">
              <w:t>2. Impact asupra mediului de afaceri</w:t>
            </w:r>
          </w:p>
        </w:tc>
        <w:tc>
          <w:tcPr>
            <w:tcW w:w="7556" w:type="dxa"/>
            <w:vAlign w:val="center"/>
          </w:tcPr>
          <w:p w14:paraId="41DC7255" w14:textId="77777777" w:rsidR="00670C79" w:rsidRPr="007872E4" w:rsidRDefault="00670C79" w:rsidP="00312FF3">
            <w:pPr>
              <w:spacing w:line="276" w:lineRule="auto"/>
              <w:jc w:val="both"/>
            </w:pPr>
            <w:r w:rsidRPr="007872E4">
              <w:t>Proiectul de act normativ nu se referă la acest subiect.</w:t>
            </w:r>
          </w:p>
          <w:p w14:paraId="5C25A681" w14:textId="77777777" w:rsidR="0025682E" w:rsidRPr="007872E4" w:rsidRDefault="0025682E" w:rsidP="00312FF3">
            <w:pPr>
              <w:spacing w:line="276" w:lineRule="auto"/>
              <w:jc w:val="both"/>
            </w:pPr>
          </w:p>
        </w:tc>
      </w:tr>
      <w:tr w:rsidR="00520BE3" w:rsidRPr="007872E4" w14:paraId="6802A78A" w14:textId="77777777" w:rsidTr="006A5A1B">
        <w:tc>
          <w:tcPr>
            <w:tcW w:w="2684" w:type="dxa"/>
          </w:tcPr>
          <w:p w14:paraId="3F227086" w14:textId="77777777" w:rsidR="00670C79" w:rsidRPr="007872E4" w:rsidRDefault="00670C79" w:rsidP="00312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7872E4">
              <w:rPr>
                <w:lang w:eastAsia="ro-RO"/>
              </w:rPr>
              <w:t>2^1. Impactul asupra sarcinilor administrative</w:t>
            </w:r>
          </w:p>
        </w:tc>
        <w:tc>
          <w:tcPr>
            <w:tcW w:w="7556" w:type="dxa"/>
            <w:vAlign w:val="center"/>
          </w:tcPr>
          <w:p w14:paraId="27439D9F" w14:textId="77777777" w:rsidR="00670C79" w:rsidRPr="007872E4" w:rsidRDefault="00670C79" w:rsidP="00312FF3">
            <w:pPr>
              <w:spacing w:line="276" w:lineRule="auto"/>
              <w:jc w:val="both"/>
            </w:pPr>
            <w:r w:rsidRPr="007872E4">
              <w:t>Proiectul de act normativ nu se referă la acest subiect.</w:t>
            </w:r>
          </w:p>
        </w:tc>
      </w:tr>
      <w:tr w:rsidR="00520BE3" w:rsidRPr="007872E4" w14:paraId="1EE623DB" w14:textId="77777777" w:rsidTr="006A5A1B">
        <w:tc>
          <w:tcPr>
            <w:tcW w:w="2684" w:type="dxa"/>
          </w:tcPr>
          <w:p w14:paraId="48E23D9D" w14:textId="77777777" w:rsidR="00670C79" w:rsidRPr="007872E4" w:rsidRDefault="00670C79" w:rsidP="00312FF3">
            <w:pPr>
              <w:pStyle w:val="HTMLPreformatted"/>
              <w:shd w:val="clear" w:color="auto" w:fill="FFFFFF"/>
              <w:spacing w:line="276" w:lineRule="auto"/>
              <w:jc w:val="both"/>
              <w:rPr>
                <w:rFonts w:ascii="Times New Roman" w:hAnsi="Times New Roman" w:cs="Times New Roman"/>
                <w:sz w:val="24"/>
                <w:szCs w:val="24"/>
              </w:rPr>
            </w:pPr>
            <w:r w:rsidRPr="007872E4">
              <w:rPr>
                <w:rFonts w:ascii="Times New Roman" w:hAnsi="Times New Roman" w:cs="Times New Roman"/>
                <w:sz w:val="24"/>
                <w:szCs w:val="24"/>
              </w:rPr>
              <w:t>2^2. Impactul asupra întreprinderilor mici și mijlocii</w:t>
            </w:r>
          </w:p>
        </w:tc>
        <w:tc>
          <w:tcPr>
            <w:tcW w:w="7556" w:type="dxa"/>
            <w:vAlign w:val="center"/>
          </w:tcPr>
          <w:p w14:paraId="2A6279C4" w14:textId="77777777" w:rsidR="00670C79" w:rsidRPr="007872E4" w:rsidRDefault="00670C79" w:rsidP="00312FF3">
            <w:pPr>
              <w:spacing w:line="276" w:lineRule="auto"/>
              <w:jc w:val="both"/>
            </w:pPr>
            <w:r w:rsidRPr="007872E4">
              <w:t>Proiectul de act normativ nu se referă la acest subiect.</w:t>
            </w:r>
          </w:p>
        </w:tc>
      </w:tr>
      <w:tr w:rsidR="00520BE3" w:rsidRPr="007872E4" w14:paraId="4036C85E" w14:textId="77777777" w:rsidTr="006A5A1B">
        <w:tc>
          <w:tcPr>
            <w:tcW w:w="2684" w:type="dxa"/>
          </w:tcPr>
          <w:p w14:paraId="7DFA3F41" w14:textId="7C924AD5" w:rsidR="00670C79" w:rsidRPr="007872E4" w:rsidRDefault="00670C79" w:rsidP="00312FF3">
            <w:pPr>
              <w:spacing w:line="276" w:lineRule="auto"/>
            </w:pPr>
            <w:r w:rsidRPr="007872E4">
              <w:t>3. Imp</w:t>
            </w:r>
            <w:r w:rsidR="009F22AF" w:rsidRPr="007872E4">
              <w:t>a</w:t>
            </w:r>
            <w:r w:rsidR="00AA59A0" w:rsidRPr="007872E4">
              <w:t>c</w:t>
            </w:r>
            <w:r w:rsidR="009F22AF" w:rsidRPr="007872E4">
              <w:t xml:space="preserve">tul </w:t>
            </w:r>
            <w:r w:rsidRPr="007872E4">
              <w:t>social</w:t>
            </w:r>
          </w:p>
        </w:tc>
        <w:tc>
          <w:tcPr>
            <w:tcW w:w="7556" w:type="dxa"/>
            <w:vAlign w:val="center"/>
          </w:tcPr>
          <w:p w14:paraId="7B2B1E4F" w14:textId="29883846" w:rsidR="00670C79" w:rsidRPr="007872E4" w:rsidRDefault="00670C79" w:rsidP="00312FF3">
            <w:pPr>
              <w:spacing w:line="276" w:lineRule="auto"/>
              <w:jc w:val="both"/>
            </w:pPr>
          </w:p>
        </w:tc>
      </w:tr>
      <w:tr w:rsidR="00520BE3" w:rsidRPr="007872E4" w14:paraId="59D45322" w14:textId="77777777" w:rsidTr="006A5A1B">
        <w:tc>
          <w:tcPr>
            <w:tcW w:w="2684" w:type="dxa"/>
          </w:tcPr>
          <w:p w14:paraId="10B187CE" w14:textId="77777777" w:rsidR="00670C79" w:rsidRPr="007872E4" w:rsidRDefault="00670C79" w:rsidP="00312FF3">
            <w:pPr>
              <w:spacing w:line="276" w:lineRule="auto"/>
            </w:pPr>
            <w:r w:rsidRPr="007872E4">
              <w:t>4. Impact asupra mediului</w:t>
            </w:r>
          </w:p>
        </w:tc>
        <w:tc>
          <w:tcPr>
            <w:tcW w:w="7556" w:type="dxa"/>
            <w:vAlign w:val="center"/>
          </w:tcPr>
          <w:p w14:paraId="05B3B285" w14:textId="77777777" w:rsidR="00670C79" w:rsidRPr="007872E4" w:rsidRDefault="00670C79" w:rsidP="00312FF3">
            <w:pPr>
              <w:spacing w:line="276" w:lineRule="auto"/>
              <w:jc w:val="both"/>
            </w:pPr>
            <w:r w:rsidRPr="007872E4">
              <w:t>Proiectul de act normativ nu se referă la acest subiect.</w:t>
            </w:r>
          </w:p>
        </w:tc>
      </w:tr>
      <w:tr w:rsidR="006449AD" w:rsidRPr="007872E4" w14:paraId="32110270" w14:textId="77777777" w:rsidTr="006A5A1B">
        <w:tc>
          <w:tcPr>
            <w:tcW w:w="2684" w:type="dxa"/>
          </w:tcPr>
          <w:p w14:paraId="41862FBF" w14:textId="77777777" w:rsidR="00670C79" w:rsidRPr="007872E4" w:rsidRDefault="00670C79" w:rsidP="00312FF3">
            <w:pPr>
              <w:spacing w:line="276" w:lineRule="auto"/>
            </w:pPr>
            <w:r w:rsidRPr="007872E4">
              <w:t>5. Alte informaţii</w:t>
            </w:r>
          </w:p>
        </w:tc>
        <w:tc>
          <w:tcPr>
            <w:tcW w:w="7556" w:type="dxa"/>
            <w:vAlign w:val="center"/>
          </w:tcPr>
          <w:p w14:paraId="53E2778B" w14:textId="77777777" w:rsidR="00670C79" w:rsidRPr="007872E4" w:rsidRDefault="00670C79" w:rsidP="00312FF3">
            <w:pPr>
              <w:spacing w:line="276" w:lineRule="auto"/>
              <w:jc w:val="both"/>
            </w:pPr>
            <w:r w:rsidRPr="007872E4">
              <w:t>Nu au fost identificate.</w:t>
            </w:r>
          </w:p>
        </w:tc>
      </w:tr>
    </w:tbl>
    <w:p w14:paraId="40C7093F" w14:textId="244CACE9" w:rsidR="0025682E" w:rsidRPr="007872E4" w:rsidRDefault="0025682E" w:rsidP="00312FF3">
      <w:pPr>
        <w:spacing w:line="276" w:lineRule="auto"/>
        <w:ind w:left="180"/>
        <w:jc w:val="both"/>
        <w:rPr>
          <w:b/>
        </w:rPr>
      </w:pPr>
    </w:p>
    <w:p w14:paraId="34AED0C5" w14:textId="12E81016" w:rsidR="00670C79" w:rsidRDefault="00670C79" w:rsidP="00312FF3">
      <w:pPr>
        <w:spacing w:line="276" w:lineRule="auto"/>
        <w:ind w:left="180"/>
        <w:jc w:val="both"/>
        <w:rPr>
          <w:b/>
        </w:rPr>
      </w:pPr>
      <w:r w:rsidRPr="007872E4">
        <w:rPr>
          <w:b/>
        </w:rPr>
        <w:t xml:space="preserve">Secţiunea a 4-a. Impactul financiar asupra bugetului de stat consolidat, atât pe termen scurt, pentru </w:t>
      </w:r>
      <w:r w:rsidR="007C16BF" w:rsidRPr="007872E4">
        <w:rPr>
          <w:b/>
        </w:rPr>
        <w:t xml:space="preserve">  </w:t>
      </w:r>
      <w:r w:rsidR="00DB71DB" w:rsidRPr="007872E4">
        <w:rPr>
          <w:b/>
        </w:rPr>
        <w:t xml:space="preserve">  </w:t>
      </w:r>
      <w:r w:rsidRPr="007872E4">
        <w:rPr>
          <w:b/>
        </w:rPr>
        <w:t>anul curent, cât şi pe termen lung (pe 5 ani)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244"/>
        <w:gridCol w:w="1232"/>
        <w:gridCol w:w="1454"/>
        <w:gridCol w:w="1354"/>
        <w:gridCol w:w="1129"/>
        <w:gridCol w:w="1444"/>
      </w:tblGrid>
      <w:tr w:rsidR="00520BE3" w:rsidRPr="007872E4" w14:paraId="57D824B3" w14:textId="77777777" w:rsidTr="00E31FC6">
        <w:tc>
          <w:tcPr>
            <w:tcW w:w="2401" w:type="dxa"/>
          </w:tcPr>
          <w:p w14:paraId="318BEE35" w14:textId="77777777" w:rsidR="00670C79" w:rsidRPr="007872E4" w:rsidRDefault="00670C79" w:rsidP="00312FF3">
            <w:pPr>
              <w:pStyle w:val="Heading2"/>
              <w:spacing w:line="276" w:lineRule="auto"/>
              <w:rPr>
                <w:sz w:val="24"/>
              </w:rPr>
            </w:pPr>
            <w:r w:rsidRPr="007872E4">
              <w:rPr>
                <w:sz w:val="24"/>
              </w:rPr>
              <w:lastRenderedPageBreak/>
              <w:t>Indicatori</w:t>
            </w:r>
          </w:p>
        </w:tc>
        <w:tc>
          <w:tcPr>
            <w:tcW w:w="1247" w:type="dxa"/>
          </w:tcPr>
          <w:p w14:paraId="603E3C85" w14:textId="77777777" w:rsidR="00670C79" w:rsidRPr="007872E4" w:rsidRDefault="00670C79" w:rsidP="00312FF3">
            <w:pPr>
              <w:spacing w:line="276" w:lineRule="auto"/>
              <w:jc w:val="center"/>
            </w:pPr>
            <w:r w:rsidRPr="007872E4">
              <w:t>An curent</w:t>
            </w:r>
          </w:p>
        </w:tc>
        <w:tc>
          <w:tcPr>
            <w:tcW w:w="5202" w:type="dxa"/>
            <w:gridSpan w:val="4"/>
          </w:tcPr>
          <w:p w14:paraId="4EA4AF47" w14:textId="77777777" w:rsidR="00670C79" w:rsidRPr="007872E4" w:rsidRDefault="00670C79" w:rsidP="00312FF3">
            <w:pPr>
              <w:spacing w:line="276" w:lineRule="auto"/>
              <w:jc w:val="center"/>
            </w:pPr>
            <w:r w:rsidRPr="007872E4">
              <w:t>Următorii 4 ani</w:t>
            </w:r>
          </w:p>
        </w:tc>
        <w:tc>
          <w:tcPr>
            <w:tcW w:w="1448" w:type="dxa"/>
          </w:tcPr>
          <w:p w14:paraId="1EE52564" w14:textId="77777777" w:rsidR="00670C79" w:rsidRPr="007872E4" w:rsidRDefault="00670C79" w:rsidP="00312FF3">
            <w:pPr>
              <w:spacing w:line="276" w:lineRule="auto"/>
              <w:jc w:val="center"/>
            </w:pPr>
            <w:r w:rsidRPr="007872E4">
              <w:t>Media următorilor 5 ani, după anul curent</w:t>
            </w:r>
          </w:p>
        </w:tc>
      </w:tr>
      <w:tr w:rsidR="00520BE3" w:rsidRPr="007872E4" w14:paraId="31AEB740" w14:textId="77777777" w:rsidTr="00E31FC6">
        <w:tc>
          <w:tcPr>
            <w:tcW w:w="2401" w:type="dxa"/>
          </w:tcPr>
          <w:p w14:paraId="1A04C9C9" w14:textId="77777777" w:rsidR="00670C79" w:rsidRPr="007872E4" w:rsidRDefault="00670C79" w:rsidP="00312FF3">
            <w:pPr>
              <w:spacing w:line="276" w:lineRule="auto"/>
              <w:jc w:val="center"/>
            </w:pPr>
            <w:r w:rsidRPr="007872E4">
              <w:t>1</w:t>
            </w:r>
          </w:p>
        </w:tc>
        <w:tc>
          <w:tcPr>
            <w:tcW w:w="1247" w:type="dxa"/>
            <w:vAlign w:val="center"/>
          </w:tcPr>
          <w:p w14:paraId="44BDE6EE" w14:textId="77777777" w:rsidR="00670C79" w:rsidRPr="007872E4" w:rsidRDefault="00670C79" w:rsidP="00312FF3">
            <w:pPr>
              <w:spacing w:line="276" w:lineRule="auto"/>
              <w:jc w:val="center"/>
            </w:pPr>
            <w:r w:rsidRPr="007872E4">
              <w:t>2</w:t>
            </w:r>
          </w:p>
        </w:tc>
        <w:tc>
          <w:tcPr>
            <w:tcW w:w="1235" w:type="dxa"/>
            <w:vAlign w:val="center"/>
          </w:tcPr>
          <w:p w14:paraId="44511A2B" w14:textId="77777777" w:rsidR="00670C79" w:rsidRPr="007872E4" w:rsidRDefault="00670C79" w:rsidP="00312FF3">
            <w:pPr>
              <w:spacing w:line="276" w:lineRule="auto"/>
              <w:jc w:val="center"/>
            </w:pPr>
            <w:r w:rsidRPr="007872E4">
              <w:t>3</w:t>
            </w:r>
          </w:p>
        </w:tc>
        <w:tc>
          <w:tcPr>
            <w:tcW w:w="1466" w:type="dxa"/>
            <w:vAlign w:val="center"/>
          </w:tcPr>
          <w:p w14:paraId="7665B810" w14:textId="77777777" w:rsidR="00670C79" w:rsidRPr="007872E4" w:rsidRDefault="00670C79" w:rsidP="00312FF3">
            <w:pPr>
              <w:spacing w:line="276" w:lineRule="auto"/>
              <w:jc w:val="center"/>
            </w:pPr>
            <w:r w:rsidRPr="007872E4">
              <w:t>4</w:t>
            </w:r>
          </w:p>
        </w:tc>
        <w:tc>
          <w:tcPr>
            <w:tcW w:w="1366" w:type="dxa"/>
            <w:vAlign w:val="center"/>
          </w:tcPr>
          <w:p w14:paraId="375332DA" w14:textId="77777777" w:rsidR="00670C79" w:rsidRPr="007872E4" w:rsidRDefault="00670C79" w:rsidP="00312FF3">
            <w:pPr>
              <w:spacing w:line="276" w:lineRule="auto"/>
              <w:jc w:val="center"/>
            </w:pPr>
            <w:r w:rsidRPr="007872E4">
              <w:t>5</w:t>
            </w:r>
          </w:p>
        </w:tc>
        <w:tc>
          <w:tcPr>
            <w:tcW w:w="1135" w:type="dxa"/>
            <w:vAlign w:val="center"/>
          </w:tcPr>
          <w:p w14:paraId="0DD2A48C" w14:textId="77777777" w:rsidR="00670C79" w:rsidRPr="007872E4" w:rsidRDefault="00670C79" w:rsidP="00312FF3">
            <w:pPr>
              <w:spacing w:line="276" w:lineRule="auto"/>
              <w:jc w:val="center"/>
            </w:pPr>
            <w:r w:rsidRPr="007872E4">
              <w:t>6</w:t>
            </w:r>
          </w:p>
        </w:tc>
        <w:tc>
          <w:tcPr>
            <w:tcW w:w="1448" w:type="dxa"/>
            <w:vAlign w:val="center"/>
          </w:tcPr>
          <w:p w14:paraId="64FF500C" w14:textId="77777777" w:rsidR="00670C79" w:rsidRPr="007872E4" w:rsidRDefault="00670C79" w:rsidP="00312FF3">
            <w:pPr>
              <w:spacing w:line="276" w:lineRule="auto"/>
              <w:jc w:val="center"/>
            </w:pPr>
            <w:r w:rsidRPr="007872E4">
              <w:t>7</w:t>
            </w:r>
          </w:p>
        </w:tc>
      </w:tr>
      <w:tr w:rsidR="00520BE3" w:rsidRPr="007872E4" w14:paraId="24F374CE" w14:textId="77777777" w:rsidTr="00E31FC6">
        <w:tc>
          <w:tcPr>
            <w:tcW w:w="2401" w:type="dxa"/>
          </w:tcPr>
          <w:p w14:paraId="16B8D264" w14:textId="77777777" w:rsidR="00670C79" w:rsidRPr="007872E4" w:rsidRDefault="00670C79" w:rsidP="00312FF3">
            <w:pPr>
              <w:spacing w:line="276" w:lineRule="auto"/>
              <w:jc w:val="both"/>
            </w:pPr>
            <w:r w:rsidRPr="007872E4">
              <w:t>1.Modificări ale veniturilor bugetare, plus/minus, din care:</w:t>
            </w:r>
          </w:p>
          <w:p w14:paraId="4B6C0C63" w14:textId="77777777" w:rsidR="00670C79" w:rsidRPr="007872E4" w:rsidRDefault="00670C79" w:rsidP="00312FF3">
            <w:pPr>
              <w:spacing w:line="276" w:lineRule="auto"/>
              <w:jc w:val="both"/>
            </w:pPr>
            <w:r w:rsidRPr="007872E4">
              <w:t>a)bugetul de stat, din acesta:</w:t>
            </w:r>
          </w:p>
          <w:p w14:paraId="0B240570" w14:textId="77777777" w:rsidR="00670C79" w:rsidRPr="007872E4" w:rsidRDefault="00670C79" w:rsidP="00312FF3">
            <w:pPr>
              <w:spacing w:line="276" w:lineRule="auto"/>
              <w:jc w:val="both"/>
            </w:pPr>
            <w:r w:rsidRPr="007872E4">
              <w:t>-impozit pe profit</w:t>
            </w:r>
          </w:p>
          <w:p w14:paraId="7FF15A7F" w14:textId="77777777" w:rsidR="00670C79" w:rsidRPr="007872E4" w:rsidRDefault="00670C79" w:rsidP="00312FF3">
            <w:pPr>
              <w:spacing w:line="276" w:lineRule="auto"/>
              <w:jc w:val="both"/>
            </w:pPr>
            <w:r w:rsidRPr="007872E4">
              <w:t>-impozit pe venit</w:t>
            </w:r>
          </w:p>
          <w:p w14:paraId="6929BEE8" w14:textId="77777777" w:rsidR="00670C79" w:rsidRPr="007872E4" w:rsidRDefault="00670C79" w:rsidP="00312FF3">
            <w:pPr>
              <w:spacing w:line="276" w:lineRule="auto"/>
              <w:jc w:val="both"/>
            </w:pPr>
            <w:r w:rsidRPr="007872E4">
              <w:t>b)bugete locale:</w:t>
            </w:r>
          </w:p>
          <w:p w14:paraId="018DC564" w14:textId="77777777" w:rsidR="00670C79" w:rsidRPr="007872E4" w:rsidRDefault="00670C79" w:rsidP="00312FF3">
            <w:pPr>
              <w:spacing w:line="276" w:lineRule="auto"/>
              <w:jc w:val="both"/>
            </w:pPr>
            <w:r w:rsidRPr="007872E4">
              <w:t>-impozit pe profit</w:t>
            </w:r>
          </w:p>
          <w:p w14:paraId="36DA5184" w14:textId="77777777" w:rsidR="00670C79" w:rsidRPr="007872E4" w:rsidRDefault="00670C79" w:rsidP="00312FF3">
            <w:pPr>
              <w:spacing w:line="276" w:lineRule="auto"/>
              <w:jc w:val="both"/>
            </w:pPr>
            <w:r w:rsidRPr="007872E4">
              <w:t>c)bugetul asigurărilor sociale</w:t>
            </w:r>
          </w:p>
          <w:p w14:paraId="7075F3AB" w14:textId="01F98C89" w:rsidR="0025682E" w:rsidRPr="007872E4" w:rsidRDefault="00670C79" w:rsidP="00312FF3">
            <w:pPr>
              <w:spacing w:line="276" w:lineRule="auto"/>
              <w:jc w:val="both"/>
            </w:pPr>
            <w:r w:rsidRPr="007872E4">
              <w:t>-contribuţii de asigurări</w:t>
            </w:r>
          </w:p>
        </w:tc>
        <w:tc>
          <w:tcPr>
            <w:tcW w:w="1247" w:type="dxa"/>
          </w:tcPr>
          <w:p w14:paraId="7811CDB2" w14:textId="77777777" w:rsidR="00670C79" w:rsidRPr="007872E4" w:rsidRDefault="00670C79" w:rsidP="00312FF3">
            <w:pPr>
              <w:pStyle w:val="BodyText2"/>
              <w:spacing w:line="276" w:lineRule="auto"/>
              <w:rPr>
                <w:sz w:val="24"/>
              </w:rPr>
            </w:pPr>
          </w:p>
        </w:tc>
        <w:tc>
          <w:tcPr>
            <w:tcW w:w="1235" w:type="dxa"/>
          </w:tcPr>
          <w:p w14:paraId="5E0D1921" w14:textId="77777777" w:rsidR="00670C79" w:rsidRPr="007872E4" w:rsidRDefault="00670C79" w:rsidP="00312FF3">
            <w:pPr>
              <w:pStyle w:val="BodyText2"/>
              <w:spacing w:line="276" w:lineRule="auto"/>
              <w:rPr>
                <w:sz w:val="24"/>
              </w:rPr>
            </w:pPr>
          </w:p>
        </w:tc>
        <w:tc>
          <w:tcPr>
            <w:tcW w:w="1466" w:type="dxa"/>
          </w:tcPr>
          <w:p w14:paraId="3789DD62" w14:textId="77777777" w:rsidR="00670C79" w:rsidRPr="007872E4" w:rsidRDefault="00670C79" w:rsidP="00312FF3">
            <w:pPr>
              <w:pStyle w:val="BodyText2"/>
              <w:spacing w:line="276" w:lineRule="auto"/>
              <w:rPr>
                <w:sz w:val="24"/>
              </w:rPr>
            </w:pPr>
          </w:p>
        </w:tc>
        <w:tc>
          <w:tcPr>
            <w:tcW w:w="1366" w:type="dxa"/>
          </w:tcPr>
          <w:p w14:paraId="3EFEBCA3" w14:textId="77777777" w:rsidR="00670C79" w:rsidRPr="007872E4" w:rsidRDefault="00670C79" w:rsidP="00312FF3">
            <w:pPr>
              <w:pStyle w:val="BodyText2"/>
              <w:spacing w:line="276" w:lineRule="auto"/>
              <w:rPr>
                <w:sz w:val="24"/>
              </w:rPr>
            </w:pPr>
          </w:p>
        </w:tc>
        <w:tc>
          <w:tcPr>
            <w:tcW w:w="1135" w:type="dxa"/>
          </w:tcPr>
          <w:p w14:paraId="4D97905B" w14:textId="77777777" w:rsidR="00670C79" w:rsidRPr="007872E4" w:rsidRDefault="00670C79" w:rsidP="00312FF3">
            <w:pPr>
              <w:pStyle w:val="BodyText2"/>
              <w:spacing w:line="276" w:lineRule="auto"/>
              <w:rPr>
                <w:sz w:val="24"/>
              </w:rPr>
            </w:pPr>
          </w:p>
        </w:tc>
        <w:tc>
          <w:tcPr>
            <w:tcW w:w="1448" w:type="dxa"/>
          </w:tcPr>
          <w:p w14:paraId="4A89D66A" w14:textId="77777777" w:rsidR="00670C79" w:rsidRPr="007872E4" w:rsidRDefault="00670C79" w:rsidP="00312FF3">
            <w:pPr>
              <w:pStyle w:val="BodyText2"/>
              <w:spacing w:line="276" w:lineRule="auto"/>
              <w:rPr>
                <w:sz w:val="24"/>
              </w:rPr>
            </w:pPr>
          </w:p>
        </w:tc>
      </w:tr>
      <w:tr w:rsidR="00520BE3" w:rsidRPr="007872E4" w14:paraId="126F1061" w14:textId="77777777" w:rsidTr="00E31FC6">
        <w:tc>
          <w:tcPr>
            <w:tcW w:w="2401" w:type="dxa"/>
          </w:tcPr>
          <w:p w14:paraId="2AD4C393" w14:textId="77777777" w:rsidR="00ED5D29" w:rsidRPr="007872E4" w:rsidRDefault="00ED5D29" w:rsidP="00312FF3">
            <w:pPr>
              <w:spacing w:line="276" w:lineRule="auto"/>
              <w:jc w:val="both"/>
            </w:pPr>
            <w:r w:rsidRPr="007872E4">
              <w:t>2.Modificări ale cheltuielilor bugetare din care:</w:t>
            </w:r>
          </w:p>
          <w:p w14:paraId="3F5FB5D8" w14:textId="77777777" w:rsidR="00ED5D29" w:rsidRPr="007872E4" w:rsidRDefault="00ED5D29" w:rsidP="00312FF3">
            <w:pPr>
              <w:spacing w:line="276" w:lineRule="auto"/>
              <w:jc w:val="both"/>
            </w:pPr>
            <w:r w:rsidRPr="007872E4">
              <w:t>a)bugetul de stat, din acesta:</w:t>
            </w:r>
          </w:p>
          <w:p w14:paraId="55CFF855" w14:textId="77777777" w:rsidR="00ED5D29" w:rsidRPr="007872E4" w:rsidRDefault="00ED5D29" w:rsidP="00312FF3">
            <w:pPr>
              <w:spacing w:line="276" w:lineRule="auto"/>
              <w:jc w:val="both"/>
            </w:pPr>
            <w:r w:rsidRPr="007872E4">
              <w:t>-cheltuieli de personal</w:t>
            </w:r>
          </w:p>
          <w:p w14:paraId="2676BF0E" w14:textId="77777777" w:rsidR="00ED5D29" w:rsidRPr="007872E4" w:rsidRDefault="00ED5D29" w:rsidP="00312FF3">
            <w:pPr>
              <w:spacing w:line="276" w:lineRule="auto"/>
              <w:jc w:val="both"/>
            </w:pPr>
            <w:r w:rsidRPr="007872E4">
              <w:t>-bunuri şi servicii</w:t>
            </w:r>
          </w:p>
          <w:p w14:paraId="348C3E53" w14:textId="77777777" w:rsidR="00ED5D29" w:rsidRPr="007872E4" w:rsidRDefault="00ED5D29" w:rsidP="00312FF3">
            <w:pPr>
              <w:spacing w:line="276" w:lineRule="auto"/>
              <w:jc w:val="both"/>
            </w:pPr>
            <w:r w:rsidRPr="007872E4">
              <w:t>b)bugete locale:</w:t>
            </w:r>
          </w:p>
          <w:p w14:paraId="033FBF83" w14:textId="77777777" w:rsidR="00ED5D29" w:rsidRPr="007872E4" w:rsidRDefault="00ED5D29" w:rsidP="00312FF3">
            <w:pPr>
              <w:spacing w:line="276" w:lineRule="auto"/>
              <w:jc w:val="both"/>
            </w:pPr>
            <w:r w:rsidRPr="007872E4">
              <w:t>-cheltuieli de personal</w:t>
            </w:r>
          </w:p>
          <w:p w14:paraId="3FA2B166" w14:textId="77777777" w:rsidR="00ED5D29" w:rsidRPr="007872E4" w:rsidRDefault="00ED5D29" w:rsidP="00312FF3">
            <w:pPr>
              <w:spacing w:line="276" w:lineRule="auto"/>
              <w:jc w:val="both"/>
            </w:pPr>
            <w:r w:rsidRPr="007872E4">
              <w:t>-bunuri şi servicii</w:t>
            </w:r>
          </w:p>
          <w:p w14:paraId="5F7C615C" w14:textId="77777777" w:rsidR="00ED5D29" w:rsidRPr="007872E4" w:rsidRDefault="00ED5D29" w:rsidP="00312FF3">
            <w:pPr>
              <w:spacing w:line="276" w:lineRule="auto"/>
              <w:jc w:val="both"/>
            </w:pPr>
            <w:r w:rsidRPr="007872E4">
              <w:t>c)bugetul asigurărilor sociale</w:t>
            </w:r>
          </w:p>
          <w:p w14:paraId="41AFE5F5" w14:textId="77777777" w:rsidR="00ED5D29" w:rsidRPr="007872E4" w:rsidRDefault="00ED5D29" w:rsidP="00312FF3">
            <w:pPr>
              <w:spacing w:line="276" w:lineRule="auto"/>
              <w:jc w:val="both"/>
            </w:pPr>
            <w:r w:rsidRPr="007872E4">
              <w:t>-cheltuieli de personal</w:t>
            </w:r>
          </w:p>
          <w:p w14:paraId="1415B230" w14:textId="5D911D03" w:rsidR="0025682E" w:rsidRPr="007872E4" w:rsidRDefault="00ED5D29" w:rsidP="00312FF3">
            <w:pPr>
              <w:spacing w:line="276" w:lineRule="auto"/>
              <w:jc w:val="both"/>
            </w:pPr>
            <w:r w:rsidRPr="007872E4">
              <w:t>-bunuri şi servicii</w:t>
            </w:r>
          </w:p>
        </w:tc>
        <w:tc>
          <w:tcPr>
            <w:tcW w:w="1247" w:type="dxa"/>
          </w:tcPr>
          <w:p w14:paraId="1421EC5A" w14:textId="1700A76F" w:rsidR="00637F4E" w:rsidRPr="00E76E80" w:rsidRDefault="00637F4E" w:rsidP="00CE2DFA">
            <w:pPr>
              <w:spacing w:line="276" w:lineRule="auto"/>
              <w:jc w:val="center"/>
              <w:rPr>
                <w:sz w:val="20"/>
                <w:szCs w:val="20"/>
              </w:rPr>
            </w:pPr>
          </w:p>
          <w:p w14:paraId="3E1F8FD2" w14:textId="77777777" w:rsidR="00C96C6D" w:rsidRDefault="00C96C6D" w:rsidP="00C96C6D">
            <w:pPr>
              <w:spacing w:line="276" w:lineRule="auto"/>
              <w:jc w:val="center"/>
              <w:rPr>
                <w:sz w:val="20"/>
                <w:szCs w:val="20"/>
              </w:rPr>
            </w:pPr>
            <w:r>
              <w:rPr>
                <w:sz w:val="20"/>
                <w:szCs w:val="20"/>
              </w:rPr>
              <w:t>170.036,31</w:t>
            </w:r>
          </w:p>
          <w:p w14:paraId="6BF7A2B4" w14:textId="6C80EE6F" w:rsidR="00637F4E" w:rsidRPr="00E76E80" w:rsidRDefault="00E93C09" w:rsidP="00CE2DFA">
            <w:pPr>
              <w:spacing w:line="276" w:lineRule="auto"/>
              <w:jc w:val="center"/>
              <w:rPr>
                <w:sz w:val="20"/>
                <w:szCs w:val="20"/>
              </w:rPr>
            </w:pPr>
            <w:r w:rsidRPr="00E76E80">
              <w:rPr>
                <w:sz w:val="20"/>
                <w:szCs w:val="20"/>
              </w:rPr>
              <w:t>mii lei</w:t>
            </w:r>
          </w:p>
          <w:p w14:paraId="7BB1C451" w14:textId="6664AFB0" w:rsidR="00637F4E" w:rsidRPr="00E76E80" w:rsidRDefault="00637F4E" w:rsidP="00CE2DFA">
            <w:pPr>
              <w:spacing w:line="276" w:lineRule="auto"/>
              <w:jc w:val="center"/>
              <w:rPr>
                <w:sz w:val="20"/>
                <w:szCs w:val="20"/>
              </w:rPr>
            </w:pPr>
          </w:p>
        </w:tc>
        <w:tc>
          <w:tcPr>
            <w:tcW w:w="1235" w:type="dxa"/>
          </w:tcPr>
          <w:p w14:paraId="4997B631" w14:textId="777638E0" w:rsidR="00E93C09" w:rsidRPr="00E76E80" w:rsidRDefault="00E93C09" w:rsidP="00CE2DFA">
            <w:pPr>
              <w:spacing w:line="276" w:lineRule="auto"/>
              <w:jc w:val="center"/>
              <w:rPr>
                <w:sz w:val="20"/>
                <w:szCs w:val="20"/>
              </w:rPr>
            </w:pPr>
          </w:p>
          <w:p w14:paraId="1E5A702A" w14:textId="77777777" w:rsidR="00C96C6D" w:rsidRDefault="00C96C6D" w:rsidP="00C96C6D">
            <w:pPr>
              <w:spacing w:line="276" w:lineRule="auto"/>
              <w:jc w:val="center"/>
              <w:rPr>
                <w:sz w:val="20"/>
                <w:szCs w:val="20"/>
              </w:rPr>
            </w:pPr>
            <w:r>
              <w:rPr>
                <w:sz w:val="20"/>
                <w:szCs w:val="20"/>
              </w:rPr>
              <w:t>154.890,36</w:t>
            </w:r>
          </w:p>
          <w:p w14:paraId="44C5A3FF" w14:textId="331BFFCA" w:rsidR="00E93C09" w:rsidRPr="00E76E80" w:rsidRDefault="00E93C09" w:rsidP="00CE2DFA">
            <w:pPr>
              <w:spacing w:line="276" w:lineRule="auto"/>
              <w:jc w:val="center"/>
              <w:rPr>
                <w:sz w:val="20"/>
                <w:szCs w:val="20"/>
              </w:rPr>
            </w:pPr>
            <w:r w:rsidRPr="00E76E80">
              <w:rPr>
                <w:sz w:val="20"/>
                <w:szCs w:val="20"/>
              </w:rPr>
              <w:t>mii lei</w:t>
            </w:r>
          </w:p>
        </w:tc>
        <w:tc>
          <w:tcPr>
            <w:tcW w:w="1466" w:type="dxa"/>
          </w:tcPr>
          <w:p w14:paraId="6B11137A" w14:textId="73D8731F" w:rsidR="00E93C09" w:rsidRPr="00E76E80" w:rsidRDefault="00E93C09" w:rsidP="00CE2DFA">
            <w:pPr>
              <w:spacing w:line="276" w:lineRule="auto"/>
              <w:jc w:val="center"/>
              <w:rPr>
                <w:sz w:val="20"/>
                <w:szCs w:val="20"/>
              </w:rPr>
            </w:pPr>
          </w:p>
          <w:p w14:paraId="2D0C5B2C" w14:textId="77777777" w:rsidR="00C96C6D" w:rsidRDefault="00C96C6D" w:rsidP="00C96C6D">
            <w:pPr>
              <w:spacing w:line="276" w:lineRule="auto"/>
              <w:jc w:val="center"/>
              <w:rPr>
                <w:sz w:val="20"/>
                <w:szCs w:val="20"/>
              </w:rPr>
            </w:pPr>
            <w:r>
              <w:rPr>
                <w:sz w:val="20"/>
                <w:szCs w:val="20"/>
              </w:rPr>
              <w:t>16.617,86</w:t>
            </w:r>
          </w:p>
          <w:p w14:paraId="1702DFD2" w14:textId="204716DB" w:rsidR="00E93C09" w:rsidRPr="00E76E80" w:rsidRDefault="00E93C09" w:rsidP="00CE2DFA">
            <w:pPr>
              <w:spacing w:line="276" w:lineRule="auto"/>
              <w:jc w:val="center"/>
              <w:rPr>
                <w:sz w:val="20"/>
                <w:szCs w:val="20"/>
              </w:rPr>
            </w:pPr>
            <w:r w:rsidRPr="00E76E80">
              <w:rPr>
                <w:sz w:val="20"/>
                <w:szCs w:val="20"/>
              </w:rPr>
              <w:t>mii lei</w:t>
            </w:r>
          </w:p>
        </w:tc>
        <w:tc>
          <w:tcPr>
            <w:tcW w:w="1366" w:type="dxa"/>
          </w:tcPr>
          <w:p w14:paraId="5EDBEA9F" w14:textId="17D76920" w:rsidR="00E93C09" w:rsidRPr="00E76E80" w:rsidRDefault="00E93C09" w:rsidP="00CE2DFA">
            <w:pPr>
              <w:spacing w:line="276" w:lineRule="auto"/>
              <w:jc w:val="center"/>
              <w:rPr>
                <w:sz w:val="20"/>
                <w:szCs w:val="20"/>
              </w:rPr>
            </w:pPr>
          </w:p>
          <w:p w14:paraId="0A42C7C8" w14:textId="77777777" w:rsidR="00C96C6D" w:rsidRDefault="00C96C6D" w:rsidP="00C96C6D">
            <w:pPr>
              <w:spacing w:line="276" w:lineRule="auto"/>
              <w:jc w:val="center"/>
              <w:rPr>
                <w:sz w:val="20"/>
                <w:szCs w:val="20"/>
              </w:rPr>
            </w:pPr>
            <w:r>
              <w:rPr>
                <w:sz w:val="20"/>
                <w:szCs w:val="20"/>
              </w:rPr>
              <w:t>1.350,00</w:t>
            </w:r>
          </w:p>
          <w:p w14:paraId="1D7B38D6" w14:textId="55551B55" w:rsidR="00E93C09" w:rsidRPr="00E76E80" w:rsidRDefault="00E93C09" w:rsidP="00E93C09">
            <w:pPr>
              <w:spacing w:line="276" w:lineRule="auto"/>
              <w:jc w:val="center"/>
              <w:rPr>
                <w:sz w:val="20"/>
                <w:szCs w:val="20"/>
              </w:rPr>
            </w:pPr>
            <w:r w:rsidRPr="00E76E80">
              <w:rPr>
                <w:sz w:val="20"/>
                <w:szCs w:val="20"/>
              </w:rPr>
              <w:t>mii lei</w:t>
            </w:r>
          </w:p>
        </w:tc>
        <w:tc>
          <w:tcPr>
            <w:tcW w:w="1135" w:type="dxa"/>
          </w:tcPr>
          <w:p w14:paraId="4F81BCE3" w14:textId="47102F2B" w:rsidR="00E93C09" w:rsidRPr="00E76E80" w:rsidRDefault="00E93C09" w:rsidP="00CE2DFA">
            <w:pPr>
              <w:spacing w:line="276" w:lineRule="auto"/>
              <w:jc w:val="center"/>
              <w:rPr>
                <w:sz w:val="20"/>
                <w:szCs w:val="20"/>
              </w:rPr>
            </w:pPr>
          </w:p>
          <w:p w14:paraId="09F7CD9E" w14:textId="683D418D" w:rsidR="00E93C09" w:rsidRPr="00E76E80" w:rsidRDefault="00C96C6D" w:rsidP="00CE2DFA">
            <w:pPr>
              <w:spacing w:line="276" w:lineRule="auto"/>
              <w:jc w:val="center"/>
              <w:rPr>
                <w:sz w:val="20"/>
                <w:szCs w:val="20"/>
              </w:rPr>
            </w:pPr>
            <w:r w:rsidRPr="00E76E80">
              <w:rPr>
                <w:sz w:val="20"/>
                <w:szCs w:val="20"/>
              </w:rPr>
              <w:t>1.199,2</w:t>
            </w:r>
            <w:r>
              <w:rPr>
                <w:sz w:val="20"/>
                <w:szCs w:val="20"/>
              </w:rPr>
              <w:t>5</w:t>
            </w:r>
            <w:r w:rsidRPr="00E76E80">
              <w:rPr>
                <w:sz w:val="20"/>
                <w:szCs w:val="20"/>
              </w:rPr>
              <w:t xml:space="preserve"> </w:t>
            </w:r>
            <w:r w:rsidR="00E93C09" w:rsidRPr="00E76E80">
              <w:rPr>
                <w:sz w:val="20"/>
                <w:szCs w:val="20"/>
              </w:rPr>
              <w:t>mii lei</w:t>
            </w:r>
          </w:p>
        </w:tc>
        <w:tc>
          <w:tcPr>
            <w:tcW w:w="1448" w:type="dxa"/>
          </w:tcPr>
          <w:p w14:paraId="46B8A39A" w14:textId="73B513E6" w:rsidR="00E93C09" w:rsidRPr="00E76E80" w:rsidRDefault="00E93C09" w:rsidP="00095300">
            <w:pPr>
              <w:spacing w:line="276" w:lineRule="auto"/>
              <w:jc w:val="center"/>
              <w:rPr>
                <w:sz w:val="20"/>
                <w:szCs w:val="20"/>
              </w:rPr>
            </w:pPr>
          </w:p>
          <w:p w14:paraId="39FD445C" w14:textId="77777777" w:rsidR="00C96C6D" w:rsidRPr="00E76E80" w:rsidRDefault="00C96C6D" w:rsidP="00C96C6D">
            <w:pPr>
              <w:jc w:val="center"/>
              <w:rPr>
                <w:color w:val="000000"/>
                <w:sz w:val="20"/>
                <w:szCs w:val="20"/>
              </w:rPr>
            </w:pPr>
            <w:r w:rsidRPr="00E76E80">
              <w:rPr>
                <w:color w:val="000000"/>
                <w:sz w:val="20"/>
                <w:szCs w:val="20"/>
              </w:rPr>
              <w:t>68.818,</w:t>
            </w:r>
            <w:r>
              <w:rPr>
                <w:color w:val="000000"/>
                <w:sz w:val="20"/>
                <w:szCs w:val="20"/>
              </w:rPr>
              <w:t>7</w:t>
            </w:r>
            <w:r w:rsidRPr="00E76E80">
              <w:rPr>
                <w:color w:val="000000"/>
                <w:sz w:val="20"/>
                <w:szCs w:val="20"/>
              </w:rPr>
              <w:t>5</w:t>
            </w:r>
          </w:p>
          <w:p w14:paraId="16493B27" w14:textId="59179677" w:rsidR="00E93C09" w:rsidRPr="00E76E80" w:rsidRDefault="00E93C09" w:rsidP="00095300">
            <w:pPr>
              <w:spacing w:line="276" w:lineRule="auto"/>
              <w:jc w:val="center"/>
              <w:rPr>
                <w:sz w:val="20"/>
                <w:szCs w:val="20"/>
              </w:rPr>
            </w:pPr>
            <w:r w:rsidRPr="00E76E80">
              <w:rPr>
                <w:sz w:val="20"/>
                <w:szCs w:val="20"/>
              </w:rPr>
              <w:t>mii lei</w:t>
            </w:r>
          </w:p>
        </w:tc>
      </w:tr>
      <w:tr w:rsidR="00E31FC6" w:rsidRPr="007872E4" w14:paraId="01EE3CB7" w14:textId="77777777" w:rsidTr="00E31FC6">
        <w:tc>
          <w:tcPr>
            <w:tcW w:w="2401" w:type="dxa"/>
          </w:tcPr>
          <w:p w14:paraId="523B3FB4" w14:textId="77777777" w:rsidR="00E31FC6" w:rsidRPr="007872E4" w:rsidRDefault="00E31FC6" w:rsidP="00E31FC6">
            <w:pPr>
              <w:spacing w:line="276" w:lineRule="auto"/>
              <w:jc w:val="both"/>
            </w:pPr>
            <w:r w:rsidRPr="007872E4">
              <w:t>3.Impact financiar, plus/minus, din care:</w:t>
            </w:r>
          </w:p>
          <w:p w14:paraId="4607D0AE" w14:textId="77777777" w:rsidR="00E31FC6" w:rsidRPr="007872E4" w:rsidRDefault="00E31FC6" w:rsidP="00E31FC6">
            <w:pPr>
              <w:spacing w:line="276" w:lineRule="auto"/>
              <w:jc w:val="both"/>
            </w:pPr>
            <w:r w:rsidRPr="007872E4">
              <w:t>a) buget de stat</w:t>
            </w:r>
          </w:p>
          <w:p w14:paraId="2EC8811A" w14:textId="34DD84EB" w:rsidR="00E31FC6" w:rsidRPr="007872E4" w:rsidRDefault="00E31FC6" w:rsidP="00E31FC6">
            <w:pPr>
              <w:spacing w:line="276" w:lineRule="auto"/>
              <w:jc w:val="both"/>
            </w:pPr>
            <w:r w:rsidRPr="007872E4">
              <w:t>b)bugete locale</w:t>
            </w:r>
          </w:p>
        </w:tc>
        <w:tc>
          <w:tcPr>
            <w:tcW w:w="1247" w:type="dxa"/>
          </w:tcPr>
          <w:p w14:paraId="0D60C857" w14:textId="08953141" w:rsidR="00486461" w:rsidRDefault="00486461" w:rsidP="007F313D">
            <w:pPr>
              <w:spacing w:after="120"/>
              <w:jc w:val="center"/>
              <w:rPr>
                <w:color w:val="000000"/>
                <w:sz w:val="20"/>
                <w:szCs w:val="20"/>
              </w:rPr>
            </w:pPr>
          </w:p>
          <w:p w14:paraId="5E8F37DE" w14:textId="77777777" w:rsidR="00486461" w:rsidRDefault="00486461" w:rsidP="007F313D">
            <w:pPr>
              <w:spacing w:after="120"/>
              <w:jc w:val="center"/>
              <w:rPr>
                <w:color w:val="000000"/>
                <w:sz w:val="20"/>
                <w:szCs w:val="20"/>
              </w:rPr>
            </w:pPr>
          </w:p>
          <w:p w14:paraId="6A40001F" w14:textId="13281FB3" w:rsidR="00C96C6D" w:rsidRPr="00E76E80" w:rsidRDefault="00C96C6D" w:rsidP="007F313D">
            <w:pPr>
              <w:spacing w:after="120"/>
              <w:jc w:val="center"/>
              <w:rPr>
                <w:color w:val="000000"/>
                <w:sz w:val="20"/>
                <w:szCs w:val="20"/>
              </w:rPr>
            </w:pPr>
            <w:r>
              <w:rPr>
                <w:color w:val="000000"/>
                <w:sz w:val="20"/>
                <w:szCs w:val="20"/>
              </w:rPr>
              <w:t>-170.036,31</w:t>
            </w:r>
          </w:p>
          <w:p w14:paraId="6AE3F3FE" w14:textId="77777777" w:rsidR="00C84F4B" w:rsidRPr="00E76E80" w:rsidRDefault="00C84F4B" w:rsidP="007F313D">
            <w:pPr>
              <w:spacing w:after="120"/>
              <w:jc w:val="center"/>
              <w:rPr>
                <w:sz w:val="20"/>
                <w:szCs w:val="20"/>
              </w:rPr>
            </w:pPr>
            <w:r w:rsidRPr="00E76E80">
              <w:rPr>
                <w:sz w:val="20"/>
                <w:szCs w:val="20"/>
              </w:rPr>
              <w:t>mii lei</w:t>
            </w:r>
          </w:p>
          <w:p w14:paraId="5D0D8D5F" w14:textId="2B4B9AA1" w:rsidR="00637F4E" w:rsidRDefault="00637F4E" w:rsidP="007F313D">
            <w:pPr>
              <w:spacing w:after="120"/>
              <w:jc w:val="center"/>
              <w:rPr>
                <w:sz w:val="20"/>
                <w:szCs w:val="20"/>
              </w:rPr>
            </w:pPr>
          </w:p>
        </w:tc>
        <w:tc>
          <w:tcPr>
            <w:tcW w:w="1235" w:type="dxa"/>
          </w:tcPr>
          <w:p w14:paraId="48F82A72" w14:textId="43DD9CFF" w:rsidR="00486461" w:rsidRDefault="00486461" w:rsidP="007F313D">
            <w:pPr>
              <w:spacing w:after="120"/>
              <w:jc w:val="center"/>
              <w:rPr>
                <w:color w:val="000000"/>
                <w:sz w:val="20"/>
                <w:szCs w:val="20"/>
              </w:rPr>
            </w:pPr>
          </w:p>
          <w:p w14:paraId="27DCAB8B" w14:textId="77777777" w:rsidR="00486461" w:rsidRDefault="00486461" w:rsidP="007F313D">
            <w:pPr>
              <w:spacing w:after="120"/>
              <w:jc w:val="center"/>
              <w:rPr>
                <w:color w:val="000000"/>
                <w:sz w:val="20"/>
                <w:szCs w:val="20"/>
              </w:rPr>
            </w:pPr>
          </w:p>
          <w:p w14:paraId="18DEEE76" w14:textId="4B1345F9" w:rsidR="00C96C6D" w:rsidRPr="00E76E80" w:rsidRDefault="00C96C6D" w:rsidP="007F313D">
            <w:pPr>
              <w:spacing w:after="120"/>
              <w:jc w:val="center"/>
              <w:rPr>
                <w:color w:val="000000"/>
                <w:sz w:val="20"/>
                <w:szCs w:val="20"/>
              </w:rPr>
            </w:pPr>
            <w:r>
              <w:rPr>
                <w:color w:val="000000"/>
                <w:sz w:val="20"/>
                <w:szCs w:val="20"/>
              </w:rPr>
              <w:t>-154.890,36</w:t>
            </w:r>
          </w:p>
          <w:p w14:paraId="6BF567ED" w14:textId="5D76D7F8" w:rsidR="00E31FC6" w:rsidRDefault="00C84F4B" w:rsidP="007F313D">
            <w:pPr>
              <w:spacing w:after="120"/>
              <w:jc w:val="center"/>
              <w:rPr>
                <w:sz w:val="20"/>
                <w:szCs w:val="20"/>
              </w:rPr>
            </w:pPr>
            <w:r w:rsidRPr="00E76E80">
              <w:rPr>
                <w:sz w:val="20"/>
                <w:szCs w:val="20"/>
              </w:rPr>
              <w:t>mii lei</w:t>
            </w:r>
          </w:p>
        </w:tc>
        <w:tc>
          <w:tcPr>
            <w:tcW w:w="1466" w:type="dxa"/>
          </w:tcPr>
          <w:p w14:paraId="1AF46F9C" w14:textId="4EA96DF4" w:rsidR="00486461" w:rsidRDefault="00486461" w:rsidP="007F313D">
            <w:pPr>
              <w:spacing w:after="120"/>
              <w:jc w:val="center"/>
              <w:rPr>
                <w:color w:val="000000"/>
                <w:sz w:val="20"/>
                <w:szCs w:val="20"/>
              </w:rPr>
            </w:pPr>
          </w:p>
          <w:p w14:paraId="54EC1C21" w14:textId="77777777" w:rsidR="00486461" w:rsidRDefault="00486461" w:rsidP="007F313D">
            <w:pPr>
              <w:spacing w:after="120"/>
              <w:jc w:val="center"/>
              <w:rPr>
                <w:color w:val="000000"/>
                <w:sz w:val="20"/>
                <w:szCs w:val="20"/>
              </w:rPr>
            </w:pPr>
          </w:p>
          <w:p w14:paraId="5B255D0C" w14:textId="4C82A0E3" w:rsidR="00C96C6D" w:rsidRPr="00E76E80" w:rsidRDefault="00C96C6D" w:rsidP="007F313D">
            <w:pPr>
              <w:spacing w:after="120"/>
              <w:jc w:val="center"/>
              <w:rPr>
                <w:color w:val="000000"/>
                <w:sz w:val="20"/>
                <w:szCs w:val="20"/>
              </w:rPr>
            </w:pPr>
            <w:r>
              <w:rPr>
                <w:color w:val="000000"/>
                <w:sz w:val="20"/>
                <w:szCs w:val="20"/>
              </w:rPr>
              <w:t>-16.617,86</w:t>
            </w:r>
          </w:p>
          <w:p w14:paraId="40A0D6F3" w14:textId="20A2880A" w:rsidR="00E31FC6" w:rsidRDefault="00C84F4B" w:rsidP="007F313D">
            <w:pPr>
              <w:spacing w:after="120"/>
              <w:jc w:val="center"/>
              <w:rPr>
                <w:sz w:val="20"/>
                <w:szCs w:val="20"/>
              </w:rPr>
            </w:pPr>
            <w:r w:rsidRPr="00E76E80">
              <w:rPr>
                <w:sz w:val="20"/>
                <w:szCs w:val="20"/>
              </w:rPr>
              <w:t>mii lei</w:t>
            </w:r>
          </w:p>
        </w:tc>
        <w:tc>
          <w:tcPr>
            <w:tcW w:w="1366" w:type="dxa"/>
          </w:tcPr>
          <w:p w14:paraId="002F9D96" w14:textId="5DE966E8" w:rsidR="00486461" w:rsidRDefault="00486461" w:rsidP="007F313D">
            <w:pPr>
              <w:spacing w:after="120"/>
              <w:jc w:val="center"/>
              <w:rPr>
                <w:sz w:val="20"/>
                <w:szCs w:val="20"/>
              </w:rPr>
            </w:pPr>
          </w:p>
          <w:p w14:paraId="04444386" w14:textId="77777777" w:rsidR="007F313D" w:rsidRDefault="007F313D" w:rsidP="007F313D">
            <w:pPr>
              <w:spacing w:after="120"/>
              <w:rPr>
                <w:sz w:val="20"/>
                <w:szCs w:val="20"/>
              </w:rPr>
            </w:pPr>
          </w:p>
          <w:p w14:paraId="7F1D5794" w14:textId="3BF6C083" w:rsidR="00C96C6D" w:rsidRDefault="00C96C6D" w:rsidP="007F313D">
            <w:pPr>
              <w:spacing w:after="120"/>
              <w:rPr>
                <w:sz w:val="20"/>
                <w:szCs w:val="20"/>
              </w:rPr>
            </w:pPr>
            <w:r>
              <w:rPr>
                <w:sz w:val="20"/>
                <w:szCs w:val="20"/>
              </w:rPr>
              <w:t>-1.350,00</w:t>
            </w:r>
          </w:p>
          <w:p w14:paraId="7562F8AC" w14:textId="6C3D5654" w:rsidR="00E31FC6" w:rsidRDefault="00C84F4B" w:rsidP="007F313D">
            <w:pPr>
              <w:spacing w:after="120"/>
              <w:jc w:val="center"/>
              <w:rPr>
                <w:sz w:val="20"/>
                <w:szCs w:val="20"/>
              </w:rPr>
            </w:pPr>
            <w:r w:rsidRPr="00E76E80">
              <w:rPr>
                <w:sz w:val="20"/>
                <w:szCs w:val="20"/>
              </w:rPr>
              <w:t>mii lei</w:t>
            </w:r>
          </w:p>
        </w:tc>
        <w:tc>
          <w:tcPr>
            <w:tcW w:w="1135" w:type="dxa"/>
          </w:tcPr>
          <w:p w14:paraId="458D96F1" w14:textId="7A3223A4" w:rsidR="00486461" w:rsidRDefault="00486461" w:rsidP="007F313D">
            <w:pPr>
              <w:spacing w:after="120"/>
              <w:jc w:val="center"/>
              <w:rPr>
                <w:sz w:val="20"/>
                <w:szCs w:val="20"/>
              </w:rPr>
            </w:pPr>
          </w:p>
          <w:p w14:paraId="708E42FC" w14:textId="77777777" w:rsidR="00486461" w:rsidRDefault="00486461" w:rsidP="007F313D">
            <w:pPr>
              <w:spacing w:after="120"/>
              <w:jc w:val="center"/>
              <w:rPr>
                <w:sz w:val="20"/>
                <w:szCs w:val="20"/>
              </w:rPr>
            </w:pPr>
          </w:p>
          <w:p w14:paraId="3098240D" w14:textId="36402153" w:rsidR="00C96C6D" w:rsidRDefault="00C96C6D" w:rsidP="007F313D">
            <w:pPr>
              <w:spacing w:after="120"/>
              <w:jc w:val="center"/>
              <w:rPr>
                <w:sz w:val="20"/>
                <w:szCs w:val="20"/>
              </w:rPr>
            </w:pPr>
            <w:r>
              <w:rPr>
                <w:sz w:val="20"/>
                <w:szCs w:val="20"/>
              </w:rPr>
              <w:t>-</w:t>
            </w:r>
            <w:r w:rsidRPr="00E76E80">
              <w:rPr>
                <w:sz w:val="20"/>
                <w:szCs w:val="20"/>
              </w:rPr>
              <w:t>1.199,2</w:t>
            </w:r>
            <w:r>
              <w:rPr>
                <w:sz w:val="20"/>
                <w:szCs w:val="20"/>
              </w:rPr>
              <w:t>5</w:t>
            </w:r>
            <w:r w:rsidRPr="00E76E80">
              <w:rPr>
                <w:sz w:val="20"/>
                <w:szCs w:val="20"/>
              </w:rPr>
              <w:t xml:space="preserve"> </w:t>
            </w:r>
          </w:p>
          <w:p w14:paraId="70EADADD" w14:textId="00EDF474" w:rsidR="00E31FC6" w:rsidRDefault="00C84F4B" w:rsidP="007F313D">
            <w:pPr>
              <w:spacing w:after="120"/>
              <w:jc w:val="center"/>
              <w:rPr>
                <w:sz w:val="20"/>
                <w:szCs w:val="20"/>
              </w:rPr>
            </w:pPr>
            <w:r w:rsidRPr="00E76E80">
              <w:rPr>
                <w:sz w:val="20"/>
                <w:szCs w:val="20"/>
              </w:rPr>
              <w:t>mii lei</w:t>
            </w:r>
          </w:p>
        </w:tc>
        <w:tc>
          <w:tcPr>
            <w:tcW w:w="1448" w:type="dxa"/>
          </w:tcPr>
          <w:p w14:paraId="17775B5F" w14:textId="11A2B5FE" w:rsidR="00486461" w:rsidRDefault="00486461" w:rsidP="007F313D">
            <w:pPr>
              <w:spacing w:after="120"/>
              <w:jc w:val="center"/>
              <w:rPr>
                <w:color w:val="000000"/>
                <w:sz w:val="20"/>
                <w:szCs w:val="20"/>
              </w:rPr>
            </w:pPr>
          </w:p>
          <w:p w14:paraId="2A2C8487" w14:textId="77777777" w:rsidR="00486461" w:rsidRDefault="00486461" w:rsidP="007F313D">
            <w:pPr>
              <w:spacing w:after="120"/>
              <w:jc w:val="center"/>
              <w:rPr>
                <w:color w:val="000000"/>
                <w:sz w:val="20"/>
                <w:szCs w:val="20"/>
              </w:rPr>
            </w:pPr>
          </w:p>
          <w:p w14:paraId="65405D18" w14:textId="77777777" w:rsidR="00C96C6D" w:rsidRPr="00E76E80" w:rsidRDefault="00C96C6D" w:rsidP="007F313D">
            <w:pPr>
              <w:spacing w:after="120"/>
              <w:jc w:val="center"/>
              <w:rPr>
                <w:color w:val="000000"/>
                <w:sz w:val="20"/>
                <w:szCs w:val="20"/>
              </w:rPr>
            </w:pPr>
            <w:r>
              <w:rPr>
                <w:color w:val="000000"/>
                <w:sz w:val="20"/>
                <w:szCs w:val="20"/>
              </w:rPr>
              <w:t>-</w:t>
            </w:r>
            <w:r w:rsidRPr="00E76E80">
              <w:rPr>
                <w:color w:val="000000"/>
                <w:sz w:val="20"/>
                <w:szCs w:val="20"/>
              </w:rPr>
              <w:t>68.818,</w:t>
            </w:r>
            <w:r>
              <w:rPr>
                <w:color w:val="000000"/>
                <w:sz w:val="20"/>
                <w:szCs w:val="20"/>
              </w:rPr>
              <w:t>7</w:t>
            </w:r>
            <w:r w:rsidRPr="00E76E80">
              <w:rPr>
                <w:color w:val="000000"/>
                <w:sz w:val="20"/>
                <w:szCs w:val="20"/>
              </w:rPr>
              <w:t>5</w:t>
            </w:r>
          </w:p>
          <w:p w14:paraId="7CDB3E34" w14:textId="0FD70CD5" w:rsidR="00E31FC6" w:rsidRDefault="00C84F4B" w:rsidP="007F313D">
            <w:pPr>
              <w:spacing w:after="120"/>
              <w:jc w:val="center"/>
              <w:rPr>
                <w:sz w:val="20"/>
                <w:szCs w:val="20"/>
              </w:rPr>
            </w:pPr>
            <w:r w:rsidRPr="00E76E80">
              <w:rPr>
                <w:sz w:val="20"/>
                <w:szCs w:val="20"/>
              </w:rPr>
              <w:t>mii lei</w:t>
            </w:r>
          </w:p>
        </w:tc>
      </w:tr>
      <w:tr w:rsidR="00E31FC6" w:rsidRPr="007872E4" w14:paraId="675CE50B" w14:textId="77777777" w:rsidTr="00E31FC6">
        <w:tc>
          <w:tcPr>
            <w:tcW w:w="2401" w:type="dxa"/>
          </w:tcPr>
          <w:p w14:paraId="182C7B6E" w14:textId="77777777" w:rsidR="00E31FC6" w:rsidRPr="007872E4" w:rsidRDefault="00E31FC6" w:rsidP="00312FF3">
            <w:pPr>
              <w:spacing w:line="276" w:lineRule="auto"/>
            </w:pPr>
            <w:r w:rsidRPr="007872E4">
              <w:t xml:space="preserve">4. Propuneri pentru </w:t>
            </w:r>
          </w:p>
          <w:p w14:paraId="7D87FB0E" w14:textId="77777777" w:rsidR="00E31FC6" w:rsidRPr="007872E4" w:rsidRDefault="00E31FC6" w:rsidP="00312FF3">
            <w:pPr>
              <w:spacing w:line="276" w:lineRule="auto"/>
            </w:pPr>
            <w:r w:rsidRPr="007872E4">
              <w:t>acoperirea creşterilor de cheltuieli</w:t>
            </w:r>
          </w:p>
        </w:tc>
        <w:tc>
          <w:tcPr>
            <w:tcW w:w="7897" w:type="dxa"/>
            <w:gridSpan w:val="6"/>
            <w:vAlign w:val="center"/>
          </w:tcPr>
          <w:p w14:paraId="64B74EF4" w14:textId="77777777" w:rsidR="00E31FC6" w:rsidRPr="007872E4" w:rsidRDefault="00E31FC6" w:rsidP="00312FF3">
            <w:pPr>
              <w:spacing w:line="276" w:lineRule="auto"/>
              <w:rPr>
                <w:noProof/>
              </w:rPr>
            </w:pPr>
            <w:r w:rsidRPr="007872E4">
              <w:rPr>
                <w:noProof/>
              </w:rPr>
              <w:t>Proiectul de act normativ nu se referă la acest subiect.</w:t>
            </w:r>
          </w:p>
        </w:tc>
      </w:tr>
      <w:tr w:rsidR="00E31FC6" w:rsidRPr="007872E4" w14:paraId="0436F908" w14:textId="77777777" w:rsidTr="00E31FC6">
        <w:tc>
          <w:tcPr>
            <w:tcW w:w="2401" w:type="dxa"/>
          </w:tcPr>
          <w:p w14:paraId="71CBC13E" w14:textId="77777777" w:rsidR="00E31FC6" w:rsidRPr="007872E4" w:rsidRDefault="00E31FC6" w:rsidP="00312FF3">
            <w:pPr>
              <w:spacing w:line="276" w:lineRule="auto"/>
            </w:pPr>
            <w:r w:rsidRPr="007872E4">
              <w:t>5. Propuneri pentru acoperirea scăderilor  de venituri</w:t>
            </w:r>
          </w:p>
        </w:tc>
        <w:tc>
          <w:tcPr>
            <w:tcW w:w="7897" w:type="dxa"/>
            <w:gridSpan w:val="6"/>
            <w:vAlign w:val="center"/>
          </w:tcPr>
          <w:p w14:paraId="30C15718" w14:textId="77777777" w:rsidR="00E31FC6" w:rsidRPr="007872E4" w:rsidRDefault="00E31FC6" w:rsidP="00312FF3">
            <w:pPr>
              <w:spacing w:line="276" w:lineRule="auto"/>
              <w:rPr>
                <w:noProof/>
              </w:rPr>
            </w:pPr>
            <w:r w:rsidRPr="007872E4">
              <w:rPr>
                <w:noProof/>
              </w:rPr>
              <w:t>Proiectul de act normativ nu se referă la acest subiect.</w:t>
            </w:r>
          </w:p>
        </w:tc>
      </w:tr>
      <w:tr w:rsidR="00E31FC6" w:rsidRPr="007872E4" w14:paraId="47075FD6" w14:textId="77777777" w:rsidTr="00E31FC6">
        <w:tc>
          <w:tcPr>
            <w:tcW w:w="2401" w:type="dxa"/>
          </w:tcPr>
          <w:p w14:paraId="4BFC5C0E" w14:textId="59AD6F11" w:rsidR="00E31FC6" w:rsidRPr="007872E4" w:rsidRDefault="00E31FC6" w:rsidP="00312FF3">
            <w:pPr>
              <w:spacing w:line="276" w:lineRule="auto"/>
            </w:pPr>
            <w:r w:rsidRPr="007872E4">
              <w:lastRenderedPageBreak/>
              <w:t>6. Calcule detaliate privind fundamentarea modificărilor  veniturilor şi/sau cheltuielilor bugetare</w:t>
            </w:r>
          </w:p>
        </w:tc>
        <w:tc>
          <w:tcPr>
            <w:tcW w:w="7897" w:type="dxa"/>
            <w:gridSpan w:val="6"/>
            <w:vAlign w:val="center"/>
          </w:tcPr>
          <w:p w14:paraId="2B646F1C" w14:textId="77777777" w:rsidR="00E31FC6" w:rsidRPr="007872E4" w:rsidRDefault="00E31FC6" w:rsidP="00312FF3">
            <w:pPr>
              <w:spacing w:line="276" w:lineRule="auto"/>
              <w:rPr>
                <w:noProof/>
              </w:rPr>
            </w:pPr>
            <w:r w:rsidRPr="007872E4">
              <w:rPr>
                <w:noProof/>
              </w:rPr>
              <w:t>Proiectul de act normativ nu se referă la acest subiect.</w:t>
            </w:r>
          </w:p>
        </w:tc>
      </w:tr>
      <w:tr w:rsidR="00E31FC6" w:rsidRPr="007872E4" w14:paraId="134CE0E5" w14:textId="77777777" w:rsidTr="00E31FC6">
        <w:tc>
          <w:tcPr>
            <w:tcW w:w="2401" w:type="dxa"/>
          </w:tcPr>
          <w:p w14:paraId="00F46658" w14:textId="77777777" w:rsidR="00E31FC6" w:rsidRPr="007872E4" w:rsidRDefault="00E31FC6" w:rsidP="00312FF3">
            <w:pPr>
              <w:spacing w:line="276" w:lineRule="auto"/>
            </w:pPr>
            <w:r w:rsidRPr="007872E4">
              <w:t>7. Alte informaţii</w:t>
            </w:r>
          </w:p>
        </w:tc>
        <w:tc>
          <w:tcPr>
            <w:tcW w:w="7897" w:type="dxa"/>
            <w:gridSpan w:val="6"/>
          </w:tcPr>
          <w:p w14:paraId="267586BA" w14:textId="04C94D3A" w:rsidR="00234BD3" w:rsidRDefault="00234BD3" w:rsidP="00312FF3">
            <w:pPr>
              <w:spacing w:line="276" w:lineRule="auto"/>
              <w:jc w:val="both"/>
            </w:pPr>
            <w:r>
              <w:t xml:space="preserve">Impactul financiar asupra bugetului de stat estimat constă </w:t>
            </w:r>
            <w:r w:rsidR="003348DA">
              <w:t xml:space="preserve">din </w:t>
            </w:r>
            <w:r>
              <w:t>următoarele cheltuieli bugetare:</w:t>
            </w:r>
          </w:p>
          <w:p w14:paraId="349DDD67" w14:textId="39A4687C" w:rsidR="00E31FC6" w:rsidRPr="00A81CED" w:rsidRDefault="00234BD3" w:rsidP="00312FF3">
            <w:pPr>
              <w:spacing w:line="276" w:lineRule="auto"/>
              <w:jc w:val="both"/>
            </w:pPr>
            <w:r>
              <w:t xml:space="preserve">a. </w:t>
            </w:r>
            <w:r w:rsidR="00E31FC6" w:rsidRPr="007872E4">
              <w:t xml:space="preserve">Taxa pe valoarea adăugată neeligibilă </w:t>
            </w:r>
            <w:r w:rsidR="00E31FC6" w:rsidRPr="00A81CED">
              <w:t xml:space="preserve">plătită pentru cheltuielile aferente proiectelor finanțate conform OUG nr. 172/2020 </w:t>
            </w:r>
            <w:r w:rsidRPr="00A81CED">
              <w:t xml:space="preserve">pentru operatorii regionali de apă definiți în baza art. 2 lit. h) din Legea nr. 51/2006 estimată la </w:t>
            </w:r>
            <w:r w:rsidR="00E31FC6" w:rsidRPr="00A81CED">
              <w:t xml:space="preserve"> 24.573.239,63 lei.</w:t>
            </w:r>
          </w:p>
          <w:p w14:paraId="0D9D16BC" w14:textId="300BD5C7" w:rsidR="00B85DBD" w:rsidRPr="00B85DBD" w:rsidRDefault="00234BD3" w:rsidP="00B85DBD">
            <w:pPr>
              <w:tabs>
                <w:tab w:val="left" w:pos="10530"/>
              </w:tabs>
              <w:spacing w:after="120" w:line="276" w:lineRule="auto"/>
              <w:jc w:val="both"/>
            </w:pPr>
            <w:r>
              <w:t xml:space="preserve">b. </w:t>
            </w:r>
            <w:r w:rsidR="00E76E80">
              <w:t>T</w:t>
            </w:r>
            <w:r w:rsidR="00B85DBD" w:rsidRPr="00637F4E">
              <w:t>ax</w:t>
            </w:r>
            <w:r w:rsidR="003348DA">
              <w:t>a</w:t>
            </w:r>
            <w:r w:rsidR="00B85DBD" w:rsidRPr="00637F4E">
              <w:t xml:space="preserve"> pe valoarea adăugată solicitată pentru cheltuielile aferente dezvoltării rețelelor inteligente de distribuție a gazelor naturale</w:t>
            </w:r>
            <w:r w:rsidR="00E76E80">
              <w:t>, în</w:t>
            </w:r>
            <w:r w:rsidR="00E76E80" w:rsidRPr="00B85DBD">
              <w:t xml:space="preserve"> cadrul Obiectivului Specific 8.2 - </w:t>
            </w:r>
            <w:r w:rsidR="00E76E80" w:rsidRPr="00B85DBD">
              <w:rPr>
                <w:i/>
                <w:color w:val="333333"/>
                <w:shd w:val="clear" w:color="auto" w:fill="FFFFFF"/>
              </w:rPr>
              <w:t>Creşterea gradului de interconectare a Sistemului Naţional de Transport a gazelor naturale cu alte state vecine</w:t>
            </w:r>
            <w:r w:rsidR="00E76E80">
              <w:rPr>
                <w:i/>
                <w:color w:val="333333"/>
                <w:shd w:val="clear" w:color="auto" w:fill="FFFFFF"/>
              </w:rPr>
              <w:t>,</w:t>
            </w:r>
            <w:r w:rsidR="00E76E80" w:rsidRPr="00B85DBD">
              <w:t xml:space="preserve"> </w:t>
            </w:r>
            <w:r w:rsidR="00B85DBD" w:rsidRPr="00637F4E">
              <w:t>calculat</w:t>
            </w:r>
            <w:r w:rsidR="00E76E80">
              <w:t>ă</w:t>
            </w:r>
            <w:r w:rsidR="00B85DBD" w:rsidRPr="00637F4E">
              <w:t xml:space="preserve"> având la bază bugetul limită supracontractare (</w:t>
            </w:r>
            <w:r w:rsidR="00B85DBD" w:rsidRPr="00B85DBD">
              <w:t>235,29 mil euro) stabilit prin ghidul solicitantului, la care s-a aplicat taxa pe valoare adăugată de 19% rezultând 44.705.100 euro, respectiv suma de 217.952.308 lei calculată la cursul Inforeuro de la data transmiterii propunerii legislative.</w:t>
            </w:r>
          </w:p>
          <w:p w14:paraId="5E7DDFA5" w14:textId="5B626B88" w:rsidR="00B85DBD" w:rsidRPr="00B85DBD" w:rsidRDefault="00234BD3" w:rsidP="00B85DBD">
            <w:pPr>
              <w:tabs>
                <w:tab w:val="left" w:pos="2379"/>
                <w:tab w:val="left" w:pos="6687"/>
              </w:tabs>
              <w:spacing w:after="120" w:line="276" w:lineRule="auto"/>
              <w:jc w:val="both"/>
            </w:pPr>
            <w:r>
              <w:t xml:space="preserve">c. </w:t>
            </w:r>
            <w:r w:rsidR="00E76E80">
              <w:t>T</w:t>
            </w:r>
            <w:r w:rsidR="00B85DBD" w:rsidRPr="00B85DBD">
              <w:t>ax</w:t>
            </w:r>
            <w:r w:rsidR="003348DA">
              <w:t>a</w:t>
            </w:r>
            <w:r w:rsidR="00B85DBD" w:rsidRPr="00B85DBD">
              <w:t xml:space="preserve"> pe valoarea adăugată solicitată pentru cheltuielile aferente investiţiilor în capacităţi de producere energie electrică şi/sau termică din biomasă/biogaz şi energie geotermală</w:t>
            </w:r>
            <w:r w:rsidR="00E76E80">
              <w:t>, î</w:t>
            </w:r>
            <w:r w:rsidR="00E76E80" w:rsidRPr="00B85DBD">
              <w:t>n ceea ce privește Obiectivul specific 6.1-</w:t>
            </w:r>
            <w:r w:rsidR="00E76E80" w:rsidRPr="00B85DBD">
              <w:rPr>
                <w:i/>
              </w:rPr>
              <w:t>Creşterea producţiei de energie din resurse regenerabile mai puţin exploatate (biomasă, biogaz, geotermal), producție</w:t>
            </w:r>
            <w:r w:rsidR="00E76E80">
              <w:t>, c</w:t>
            </w:r>
            <w:r w:rsidR="00B85DBD" w:rsidRPr="00B85DBD">
              <w:t>alculat</w:t>
            </w:r>
            <w:r w:rsidR="00E76E80">
              <w:t>ă</w:t>
            </w:r>
            <w:r w:rsidR="00B85DBD" w:rsidRPr="00B85DBD">
              <w:t xml:space="preserve"> având la bază bugetul limită supracontractare (100.630.588 euro) stabilit prin ghidul solicitantului, la care se aplică taxa pe valoare adăugată de 19%, rezultând 19.119.811,72 euro, respectiv suma de 94.566.588,76 lei calculată la cursul Inforeuro din octombrie 2021 (1 euro = 4.9460 lei). </w:t>
            </w:r>
          </w:p>
          <w:p w14:paraId="112D7844" w14:textId="734942A6" w:rsidR="00E31FC6" w:rsidRPr="007872E4" w:rsidRDefault="00E31FC6" w:rsidP="00312FF3">
            <w:pPr>
              <w:spacing w:line="276" w:lineRule="auto"/>
              <w:jc w:val="both"/>
            </w:pPr>
            <w:r w:rsidRPr="007872E4">
              <w:t>Sumele sunt estimate și sunt influențate de gradul de contractare și implementare a proiectelor.</w:t>
            </w:r>
            <w:r w:rsidRPr="00492073">
              <w:rPr>
                <w:rFonts w:ascii="Trebuchet MS" w:eastAsia="Trebuchet MS" w:hAnsi="Trebuchet MS" w:cs="Trebuchet MS"/>
                <w:sz w:val="22"/>
                <w:szCs w:val="22"/>
              </w:rPr>
              <w:t xml:space="preserve"> </w:t>
            </w:r>
            <w:r>
              <w:rPr>
                <w:rFonts w:ascii="Trebuchet MS" w:eastAsia="Trebuchet MS" w:hAnsi="Trebuchet MS" w:cs="Trebuchet MS"/>
                <w:sz w:val="22"/>
                <w:szCs w:val="22"/>
              </w:rPr>
              <w:t>A</w:t>
            </w:r>
            <w:r w:rsidRPr="00492073">
              <w:t xml:space="preserve">ceste proiecte, pentru care cheltuielile eligibile sunt suportate din fonduri rambursate de </w:t>
            </w:r>
            <w:r w:rsidR="001D27EE" w:rsidRPr="00492073">
              <w:t>către</w:t>
            </w:r>
            <w:r w:rsidRPr="00492073">
              <w:t xml:space="preserve"> Comisia Europeana, </w:t>
            </w:r>
            <w:r w:rsidR="001D27EE" w:rsidRPr="00492073">
              <w:t>degrevează</w:t>
            </w:r>
            <w:r w:rsidRPr="00492073">
              <w:t xml:space="preserve"> bugetul de stat de cheltuieli majore care ar fi fost realizate pentru </w:t>
            </w:r>
            <w:r w:rsidR="001D27EE" w:rsidRPr="00492073">
              <w:t>investiții</w:t>
            </w:r>
            <w:r w:rsidRPr="00492073">
              <w:t xml:space="preserve"> publice absolut necesare.</w:t>
            </w:r>
          </w:p>
          <w:p w14:paraId="3B06EA07" w14:textId="54DB8408" w:rsidR="00E31FC6" w:rsidRPr="007872E4" w:rsidRDefault="00234BD3" w:rsidP="00455919">
            <w:pPr>
              <w:spacing w:before="120" w:after="120" w:line="276" w:lineRule="auto"/>
              <w:jc w:val="both"/>
            </w:pPr>
            <w:r>
              <w:t xml:space="preserve">d. </w:t>
            </w:r>
            <w:r w:rsidR="00E31FC6" w:rsidRPr="007872E4">
              <w:t xml:space="preserve">Prin adoptarea măsurii propuse la art. II impactul financiar estimat de </w:t>
            </w:r>
            <w:r w:rsidR="00E76E80">
              <w:t>autoritățile</w:t>
            </w:r>
            <w:r w:rsidR="001D27EE">
              <w:t xml:space="preserve"> de management din cadrul </w:t>
            </w:r>
            <w:r w:rsidR="00E31FC6" w:rsidRPr="007872E4">
              <w:t>Ministerul</w:t>
            </w:r>
            <w:r w:rsidR="001D27EE">
              <w:t>ui</w:t>
            </w:r>
            <w:r w:rsidR="00E31FC6" w:rsidRPr="007872E4">
              <w:t xml:space="preserve"> Dezvoltării, Lucrărilor Publice și Administrației</w:t>
            </w:r>
            <w:r w:rsidR="00E31FC6">
              <w:t xml:space="preserve"> și </w:t>
            </w:r>
            <w:r w:rsidR="001D27EE">
              <w:t xml:space="preserve">din cadrul </w:t>
            </w:r>
            <w:r w:rsidR="00E31FC6">
              <w:t>Ministerul</w:t>
            </w:r>
            <w:r w:rsidR="001D27EE">
              <w:t>ui</w:t>
            </w:r>
            <w:r w:rsidR="00E31FC6">
              <w:t xml:space="preserve"> Investițiilor și Proiectelor Europene</w:t>
            </w:r>
            <w:r w:rsidR="00E31FC6" w:rsidRPr="007872E4">
              <w:t xml:space="preserve"> este de</w:t>
            </w:r>
            <w:r w:rsidR="00E31FC6">
              <w:t xml:space="preserve"> 6.999,761 </w:t>
            </w:r>
            <w:r w:rsidR="00E31FC6" w:rsidRPr="007872E4">
              <w:t>mii lei pentru următorii cinci ani.</w:t>
            </w:r>
            <w:r w:rsidR="00E31FC6">
              <w:t xml:space="preserve"> </w:t>
            </w:r>
            <w:r>
              <w:t>Metodologia</w:t>
            </w:r>
            <w:r w:rsidR="001D27EE">
              <w:t xml:space="preserve"> de calcul utilizată a</w:t>
            </w:r>
            <w:r>
              <w:t xml:space="preserve"> avut î</w:t>
            </w:r>
            <w:r w:rsidR="001D27EE">
              <w:t xml:space="preserve">n vedere acțiunile </w:t>
            </w:r>
            <w:r w:rsidR="00E76E80">
              <w:t>î</w:t>
            </w:r>
            <w:r w:rsidR="001D27EE">
              <w:t xml:space="preserve">n </w:t>
            </w:r>
            <w:r w:rsidR="00E76E80">
              <w:t>instanțe</w:t>
            </w:r>
            <w:r>
              <w:t xml:space="preserve"> </w:t>
            </w:r>
            <w:r w:rsidR="001D27EE">
              <w:t xml:space="preserve">estimate a se desfășura </w:t>
            </w:r>
            <w:r w:rsidR="00E76E80">
              <w:t>î</w:t>
            </w:r>
            <w:r w:rsidR="001D27EE">
              <w:t xml:space="preserve">ntr-un an </w:t>
            </w:r>
            <w:r w:rsidR="00E76E80">
              <w:t>ș</w:t>
            </w:r>
            <w:r w:rsidR="001D27EE">
              <w:t>i costurile estimate</w:t>
            </w:r>
            <w:r>
              <w:t xml:space="preserve"> aferente acestor acțiuni.</w:t>
            </w:r>
            <w:r w:rsidR="001D27EE">
              <w:t xml:space="preserve">  </w:t>
            </w:r>
            <w:r w:rsidR="00E31FC6">
              <w:t xml:space="preserve">Aceste sume, necesare pentru </w:t>
            </w:r>
            <w:r w:rsidR="00E31FC6" w:rsidRPr="00C80BC8">
              <w:rPr>
                <w:bCs/>
              </w:rPr>
              <w:t>punerea în aplicare a hotărârilor judecătoreşti definitive</w:t>
            </w:r>
            <w:r w:rsidR="00E31FC6">
              <w:rPr>
                <w:bCs/>
              </w:rPr>
              <w:t>,</w:t>
            </w:r>
            <w:r w:rsidR="00E31FC6" w:rsidRPr="00C80BC8">
              <w:t xml:space="preserve"> </w:t>
            </w:r>
            <w:r w:rsidR="00E31FC6">
              <w:t>prin natura lor fiind obligatorii pentru ordonatorii de credite, trebuie oricum prev</w:t>
            </w:r>
            <w:r w:rsidR="00015E71">
              <w:t>ă</w:t>
            </w:r>
            <w:r w:rsidR="00E31FC6">
              <w:t xml:space="preserve">zute </w:t>
            </w:r>
            <w:r w:rsidR="00015E71">
              <w:t>î</w:t>
            </w:r>
            <w:r w:rsidR="00E31FC6">
              <w:t xml:space="preserve">n bugetul </w:t>
            </w:r>
            <w:r w:rsidR="00E31FC6">
              <w:lastRenderedPageBreak/>
              <w:t xml:space="preserve">acestora, </w:t>
            </w:r>
            <w:r>
              <w:t>măsura</w:t>
            </w:r>
            <w:r w:rsidR="00E31FC6">
              <w:t xml:space="preserve"> propus</w:t>
            </w:r>
            <w:r>
              <w:t>ă</w:t>
            </w:r>
            <w:r w:rsidR="00E31FC6">
              <w:t xml:space="preserve"> la art</w:t>
            </w:r>
            <w:r>
              <w:t>.</w:t>
            </w:r>
            <w:r w:rsidR="00E31FC6">
              <w:t xml:space="preserve"> II fiind doar aceea ca ele sa fie asigurate prin bugetul </w:t>
            </w:r>
            <w:r w:rsidR="00015E71">
              <w:t>autorităților</w:t>
            </w:r>
            <w:r w:rsidR="00E31FC6">
              <w:t xml:space="preserve"> de management.</w:t>
            </w:r>
          </w:p>
        </w:tc>
      </w:tr>
    </w:tbl>
    <w:p w14:paraId="2F7ACEA9" w14:textId="05BE5E0C" w:rsidR="003864F6" w:rsidRPr="007872E4" w:rsidRDefault="00670C79" w:rsidP="00312FF3">
      <w:pPr>
        <w:spacing w:line="276" w:lineRule="auto"/>
        <w:jc w:val="both"/>
        <w:rPr>
          <w:b/>
          <w:sz w:val="12"/>
          <w:szCs w:val="12"/>
        </w:rPr>
      </w:pPr>
      <w:r w:rsidRPr="007872E4">
        <w:rPr>
          <w:b/>
        </w:rPr>
        <w:lastRenderedPageBreak/>
        <w:t xml:space="preserve">   </w:t>
      </w:r>
    </w:p>
    <w:p w14:paraId="7E1BCAF6" w14:textId="5BAEE077" w:rsidR="00670C79" w:rsidRDefault="00DB715E" w:rsidP="00312FF3">
      <w:pPr>
        <w:spacing w:line="276" w:lineRule="auto"/>
        <w:jc w:val="both"/>
        <w:rPr>
          <w:b/>
        </w:rPr>
      </w:pPr>
      <w:r w:rsidRPr="007872E4">
        <w:rPr>
          <w:b/>
        </w:rPr>
        <w:t xml:space="preserve">  </w:t>
      </w:r>
      <w:r w:rsidR="00AA6FD4" w:rsidRPr="007872E4">
        <w:rPr>
          <w:b/>
        </w:rPr>
        <w:t xml:space="preserve">  </w:t>
      </w:r>
      <w:r w:rsidR="007C16BF" w:rsidRPr="007872E4">
        <w:rPr>
          <w:b/>
        </w:rPr>
        <w:t xml:space="preserve"> </w:t>
      </w:r>
      <w:r w:rsidR="00AA6FD4" w:rsidRPr="007872E4">
        <w:rPr>
          <w:b/>
        </w:rPr>
        <w:t xml:space="preserve"> </w:t>
      </w:r>
      <w:r w:rsidR="00670C79" w:rsidRPr="007872E4">
        <w:rPr>
          <w:b/>
        </w:rPr>
        <w:t>Secţiunea a 5-a - Efectele proiectului de act normativ asupra legislaţiei în vigoare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209"/>
      </w:tblGrid>
      <w:tr w:rsidR="00520BE3" w:rsidRPr="007872E4" w14:paraId="327176B4" w14:textId="77777777" w:rsidTr="00527866">
        <w:trPr>
          <w:trHeight w:val="561"/>
        </w:trPr>
        <w:tc>
          <w:tcPr>
            <w:tcW w:w="5040" w:type="dxa"/>
          </w:tcPr>
          <w:p w14:paraId="0B464A83" w14:textId="77777777" w:rsidR="00670C79" w:rsidRPr="007872E4" w:rsidRDefault="00670C79" w:rsidP="00312FF3">
            <w:pPr>
              <w:spacing w:line="276" w:lineRule="auto"/>
              <w:jc w:val="both"/>
            </w:pPr>
            <w:r w:rsidRPr="007872E4">
              <w:t>1.Măsuri normative necesare pentru aplicarea prevederilor proiectului de act normativ:</w:t>
            </w:r>
          </w:p>
          <w:p w14:paraId="22A542E8" w14:textId="77777777" w:rsidR="00670C79" w:rsidRPr="007872E4" w:rsidRDefault="00670C79" w:rsidP="00312FF3">
            <w:pPr>
              <w:spacing w:line="276" w:lineRule="auto"/>
              <w:jc w:val="both"/>
            </w:pPr>
            <w:r w:rsidRPr="007872E4">
              <w:t>a) acte normative în vigoare ce vor fi modificate sau abrogate, ca urmare a intrării în vigoare a proiectului de act normativ;</w:t>
            </w:r>
          </w:p>
          <w:p w14:paraId="7D58B0F1" w14:textId="2312F39B" w:rsidR="00670C79" w:rsidRPr="007872E4" w:rsidRDefault="00670C79" w:rsidP="00312FF3">
            <w:pPr>
              <w:spacing w:line="276" w:lineRule="auto"/>
              <w:jc w:val="both"/>
            </w:pPr>
            <w:r w:rsidRPr="007872E4">
              <w:t>b) acte normative ce urmează a fi elaborate în vederea implementării noilor dispoziţii.</w:t>
            </w:r>
          </w:p>
        </w:tc>
        <w:tc>
          <w:tcPr>
            <w:tcW w:w="5220" w:type="dxa"/>
          </w:tcPr>
          <w:p w14:paraId="7C430706" w14:textId="65ADFBEB" w:rsidR="004D210B" w:rsidRPr="007872E4" w:rsidRDefault="006D37D0" w:rsidP="00312FF3">
            <w:pPr>
              <w:pStyle w:val="ListParagraph"/>
              <w:tabs>
                <w:tab w:val="left" w:pos="201"/>
              </w:tabs>
              <w:spacing w:line="276" w:lineRule="auto"/>
              <w:ind w:left="59"/>
              <w:jc w:val="both"/>
              <w:rPr>
                <w:rFonts w:ascii="Times New Roman" w:hAnsi="Times New Roman" w:cs="Times New Roman"/>
              </w:rPr>
            </w:pPr>
            <w:r w:rsidRPr="007872E4">
              <w:rPr>
                <w:rFonts w:ascii="Times New Roman" w:hAnsi="Times New Roman" w:cs="Times New Roman"/>
              </w:rPr>
              <w:t>Proiectul de act normativ nu se referă la acest subiect.</w:t>
            </w:r>
          </w:p>
        </w:tc>
      </w:tr>
      <w:tr w:rsidR="00520BE3" w:rsidRPr="007872E4" w14:paraId="457614B1" w14:textId="77777777" w:rsidTr="006A5A1B">
        <w:trPr>
          <w:trHeight w:val="636"/>
        </w:trPr>
        <w:tc>
          <w:tcPr>
            <w:tcW w:w="5040" w:type="dxa"/>
          </w:tcPr>
          <w:p w14:paraId="45E3A53E" w14:textId="0D1CA120" w:rsidR="00670C79" w:rsidRPr="007872E4" w:rsidRDefault="00670C79" w:rsidP="00312FF3">
            <w:pPr>
              <w:pStyle w:val="HTMLPreformatted"/>
              <w:shd w:val="clear" w:color="auto" w:fill="FFFFFF"/>
              <w:spacing w:line="276" w:lineRule="auto"/>
              <w:jc w:val="both"/>
              <w:rPr>
                <w:rFonts w:ascii="Times New Roman" w:hAnsi="Times New Roman" w:cs="Times New Roman"/>
                <w:sz w:val="24"/>
                <w:szCs w:val="24"/>
              </w:rPr>
            </w:pPr>
            <w:r w:rsidRPr="007872E4">
              <w:rPr>
                <w:rFonts w:ascii="Times New Roman" w:hAnsi="Times New Roman" w:cs="Times New Roman"/>
                <w:sz w:val="24"/>
                <w:szCs w:val="24"/>
              </w:rPr>
              <w:t>1^1. Compatibilitatea proiectului de act normativ cu legislaţia în domeniul achiziţiilor publice</w:t>
            </w:r>
          </w:p>
        </w:tc>
        <w:tc>
          <w:tcPr>
            <w:tcW w:w="5220" w:type="dxa"/>
          </w:tcPr>
          <w:p w14:paraId="49470ACC" w14:textId="77777777" w:rsidR="00670C79" w:rsidRPr="007872E4" w:rsidRDefault="00670C79" w:rsidP="00312FF3">
            <w:pPr>
              <w:spacing w:line="276" w:lineRule="auto"/>
              <w:jc w:val="both"/>
            </w:pPr>
            <w:r w:rsidRPr="007872E4">
              <w:t>Proiectul de act normativ nu se referă la acest subiect.</w:t>
            </w:r>
          </w:p>
        </w:tc>
      </w:tr>
      <w:tr w:rsidR="00520BE3" w:rsidRPr="007872E4" w14:paraId="787E8B98" w14:textId="77777777" w:rsidTr="006A5A1B">
        <w:tc>
          <w:tcPr>
            <w:tcW w:w="5040" w:type="dxa"/>
          </w:tcPr>
          <w:p w14:paraId="5E04A94F" w14:textId="77777777" w:rsidR="00670C79" w:rsidRPr="007872E4" w:rsidRDefault="00670C79" w:rsidP="00312FF3">
            <w:pPr>
              <w:spacing w:line="276" w:lineRule="auto"/>
              <w:jc w:val="both"/>
            </w:pPr>
            <w:r w:rsidRPr="007872E4">
              <w:t>2. Conformitatea  proiectului de act normativ cu legislaţia comunitară în cazul proiectelor ce transpun prevederi comunitare</w:t>
            </w:r>
          </w:p>
        </w:tc>
        <w:tc>
          <w:tcPr>
            <w:tcW w:w="5220" w:type="dxa"/>
            <w:vAlign w:val="center"/>
          </w:tcPr>
          <w:p w14:paraId="73E021D3" w14:textId="77777777" w:rsidR="00670C79" w:rsidRPr="007872E4" w:rsidRDefault="00670C79" w:rsidP="00312FF3">
            <w:pPr>
              <w:spacing w:line="276" w:lineRule="auto"/>
              <w:jc w:val="both"/>
            </w:pPr>
            <w:r w:rsidRPr="007872E4">
              <w:t>Proiectul de act normativ nu se referă la acest subiect.</w:t>
            </w:r>
          </w:p>
        </w:tc>
      </w:tr>
      <w:tr w:rsidR="009F22AF" w:rsidRPr="007872E4" w14:paraId="344D3A2E" w14:textId="77777777" w:rsidTr="006A5A1B">
        <w:tc>
          <w:tcPr>
            <w:tcW w:w="5040" w:type="dxa"/>
          </w:tcPr>
          <w:p w14:paraId="1C80FA7B" w14:textId="2D293DAB" w:rsidR="009F22AF" w:rsidRPr="007872E4" w:rsidRDefault="009F22AF" w:rsidP="00312FF3">
            <w:pPr>
              <w:spacing w:line="276" w:lineRule="auto"/>
              <w:jc w:val="both"/>
            </w:pPr>
            <w:r w:rsidRPr="007872E4">
              <w:t>3. Măsuri normative necesare aplicării directe a actelor normative comunitare europene</w:t>
            </w:r>
          </w:p>
        </w:tc>
        <w:tc>
          <w:tcPr>
            <w:tcW w:w="5220" w:type="dxa"/>
            <w:vAlign w:val="center"/>
          </w:tcPr>
          <w:p w14:paraId="1B15F463" w14:textId="7741D1B2" w:rsidR="009F22AF" w:rsidRPr="007872E4" w:rsidRDefault="009F22AF" w:rsidP="00312FF3">
            <w:pPr>
              <w:spacing w:line="276" w:lineRule="auto"/>
              <w:jc w:val="both"/>
            </w:pPr>
            <w:r w:rsidRPr="007872E4">
              <w:t>Proiectul de act normativ nu se referă la acest subiect.</w:t>
            </w:r>
          </w:p>
        </w:tc>
      </w:tr>
      <w:tr w:rsidR="00520BE3" w:rsidRPr="007872E4" w14:paraId="64CA1687" w14:textId="77777777" w:rsidTr="006A5A1B">
        <w:tc>
          <w:tcPr>
            <w:tcW w:w="5040" w:type="dxa"/>
          </w:tcPr>
          <w:p w14:paraId="29BE2E72" w14:textId="77777777" w:rsidR="00670C79" w:rsidRPr="007872E4" w:rsidRDefault="00670C79" w:rsidP="00312FF3">
            <w:pPr>
              <w:spacing w:line="276" w:lineRule="auto"/>
              <w:jc w:val="both"/>
            </w:pPr>
            <w:r w:rsidRPr="007872E4">
              <w:t>4. Hotărâri ale Curţii de Justiţie a Uniunii Europene</w:t>
            </w:r>
          </w:p>
        </w:tc>
        <w:tc>
          <w:tcPr>
            <w:tcW w:w="5220" w:type="dxa"/>
            <w:vAlign w:val="center"/>
          </w:tcPr>
          <w:p w14:paraId="0008985F" w14:textId="77777777" w:rsidR="00670C79" w:rsidRPr="007872E4" w:rsidRDefault="00670C79" w:rsidP="00312FF3">
            <w:pPr>
              <w:spacing w:line="276" w:lineRule="auto"/>
              <w:jc w:val="both"/>
            </w:pPr>
            <w:r w:rsidRPr="007872E4">
              <w:t>Proiectul de act normativ nu se referă la acest subiect.</w:t>
            </w:r>
          </w:p>
        </w:tc>
      </w:tr>
      <w:tr w:rsidR="00520BE3" w:rsidRPr="007872E4" w14:paraId="107AD4C3" w14:textId="77777777" w:rsidTr="006A5A1B">
        <w:tc>
          <w:tcPr>
            <w:tcW w:w="5040" w:type="dxa"/>
          </w:tcPr>
          <w:p w14:paraId="37CF24B8" w14:textId="77777777" w:rsidR="00670C79" w:rsidRPr="007872E4" w:rsidRDefault="00670C79" w:rsidP="00312FF3">
            <w:pPr>
              <w:spacing w:line="276" w:lineRule="auto"/>
              <w:jc w:val="both"/>
            </w:pPr>
            <w:r w:rsidRPr="007872E4">
              <w:t>5. Alte acte normative şi/sau documente internaţionale din care decurg angajamente</w:t>
            </w:r>
          </w:p>
        </w:tc>
        <w:tc>
          <w:tcPr>
            <w:tcW w:w="5220" w:type="dxa"/>
            <w:vAlign w:val="center"/>
          </w:tcPr>
          <w:p w14:paraId="20C068A2" w14:textId="77777777" w:rsidR="00670C79" w:rsidRPr="007872E4" w:rsidRDefault="00670C79" w:rsidP="00312FF3">
            <w:pPr>
              <w:spacing w:line="276" w:lineRule="auto"/>
              <w:jc w:val="both"/>
            </w:pPr>
            <w:r w:rsidRPr="007872E4">
              <w:t>Proiectul de act normativ nu se referă la acest subiect.</w:t>
            </w:r>
          </w:p>
        </w:tc>
      </w:tr>
      <w:tr w:rsidR="00670C79" w:rsidRPr="007872E4" w14:paraId="56F5B91F" w14:textId="77777777" w:rsidTr="006A5A1B">
        <w:tc>
          <w:tcPr>
            <w:tcW w:w="5040" w:type="dxa"/>
          </w:tcPr>
          <w:p w14:paraId="5341025F" w14:textId="77777777" w:rsidR="00670C79" w:rsidRPr="007872E4" w:rsidRDefault="00670C79" w:rsidP="00312FF3">
            <w:pPr>
              <w:spacing w:line="276" w:lineRule="auto"/>
              <w:jc w:val="both"/>
            </w:pPr>
            <w:r w:rsidRPr="007872E4">
              <w:t>6.Alte informaţii</w:t>
            </w:r>
          </w:p>
        </w:tc>
        <w:tc>
          <w:tcPr>
            <w:tcW w:w="5220" w:type="dxa"/>
            <w:vAlign w:val="center"/>
          </w:tcPr>
          <w:p w14:paraId="0004E5EF" w14:textId="77777777" w:rsidR="00670C79" w:rsidRPr="007872E4" w:rsidRDefault="00670C79" w:rsidP="00312FF3">
            <w:pPr>
              <w:spacing w:line="276" w:lineRule="auto"/>
              <w:jc w:val="both"/>
            </w:pPr>
            <w:r w:rsidRPr="007872E4">
              <w:t>Nu au fost identificate.</w:t>
            </w:r>
          </w:p>
        </w:tc>
      </w:tr>
    </w:tbl>
    <w:p w14:paraId="7203B83A" w14:textId="77777777" w:rsidR="00DB715E" w:rsidRPr="007872E4" w:rsidRDefault="00DB715E" w:rsidP="00312FF3">
      <w:pPr>
        <w:spacing w:line="276" w:lineRule="auto"/>
        <w:rPr>
          <w:b/>
          <w:sz w:val="12"/>
          <w:szCs w:val="12"/>
        </w:rPr>
      </w:pPr>
      <w:r w:rsidRPr="007872E4">
        <w:rPr>
          <w:b/>
        </w:rPr>
        <w:t xml:space="preserve">   </w:t>
      </w:r>
    </w:p>
    <w:p w14:paraId="1BB8570B" w14:textId="77777777" w:rsidR="008E7314" w:rsidRDefault="00DB715E" w:rsidP="00312FF3">
      <w:pPr>
        <w:spacing w:line="276" w:lineRule="auto"/>
        <w:rPr>
          <w:b/>
        </w:rPr>
      </w:pPr>
      <w:r w:rsidRPr="007872E4">
        <w:rPr>
          <w:b/>
        </w:rPr>
        <w:t xml:space="preserve">  </w:t>
      </w:r>
      <w:r w:rsidR="00AA6FD4" w:rsidRPr="007872E4">
        <w:rPr>
          <w:b/>
        </w:rPr>
        <w:t xml:space="preserve"> </w:t>
      </w:r>
      <w:r w:rsidRPr="007872E4">
        <w:rPr>
          <w:b/>
        </w:rPr>
        <w:t xml:space="preserve"> </w:t>
      </w:r>
      <w:r w:rsidR="00AA6FD4" w:rsidRPr="007872E4">
        <w:rPr>
          <w:b/>
        </w:rPr>
        <w:t xml:space="preserve">   </w:t>
      </w:r>
      <w:r w:rsidR="007C16BF" w:rsidRPr="007872E4">
        <w:rPr>
          <w:b/>
        </w:rPr>
        <w:t xml:space="preserve"> </w:t>
      </w:r>
    </w:p>
    <w:p w14:paraId="4113E59E" w14:textId="2AC412A5" w:rsidR="00670C79" w:rsidRDefault="000327C6" w:rsidP="00312FF3">
      <w:pPr>
        <w:spacing w:line="276" w:lineRule="auto"/>
        <w:rPr>
          <w:b/>
        </w:rPr>
      </w:pPr>
      <w:r>
        <w:rPr>
          <w:b/>
        </w:rPr>
        <w:t xml:space="preserve">      </w:t>
      </w:r>
      <w:r w:rsidR="00670C79" w:rsidRPr="007872E4">
        <w:rPr>
          <w:b/>
        </w:rPr>
        <w:t>6. Consultările efectuate în vederea elaborării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209"/>
      </w:tblGrid>
      <w:tr w:rsidR="00520BE3" w:rsidRPr="007872E4" w14:paraId="65D4A307" w14:textId="77777777" w:rsidTr="006A5A1B">
        <w:tc>
          <w:tcPr>
            <w:tcW w:w="5040" w:type="dxa"/>
          </w:tcPr>
          <w:p w14:paraId="335CB085" w14:textId="77777777" w:rsidR="00670C79" w:rsidRPr="007872E4" w:rsidRDefault="00670C79" w:rsidP="00312FF3">
            <w:pPr>
              <w:spacing w:line="276" w:lineRule="auto"/>
              <w:jc w:val="both"/>
            </w:pPr>
            <w:r w:rsidRPr="007872E4">
              <w:t>1.Informaţii privind procesul de consultare cu organizaţii neguvernamentale, instituite de cercetare şi alte organisme implicate</w:t>
            </w:r>
          </w:p>
        </w:tc>
        <w:tc>
          <w:tcPr>
            <w:tcW w:w="5220" w:type="dxa"/>
          </w:tcPr>
          <w:p w14:paraId="05ECBB28" w14:textId="3AFFBCD4" w:rsidR="00670C79" w:rsidRPr="007872E4" w:rsidRDefault="00670C79" w:rsidP="00312FF3">
            <w:pPr>
              <w:spacing w:line="276" w:lineRule="auto"/>
              <w:jc w:val="both"/>
            </w:pPr>
            <w:r w:rsidRPr="007872E4">
              <w:t xml:space="preserve"> </w:t>
            </w:r>
            <w:r w:rsidR="003E080A" w:rsidRPr="007872E4">
              <w:t>Proiectul de act normativ nu se referă la acest subiect.</w:t>
            </w:r>
          </w:p>
        </w:tc>
      </w:tr>
      <w:tr w:rsidR="00520BE3" w:rsidRPr="007872E4" w14:paraId="16D0661E" w14:textId="77777777" w:rsidTr="006A5A1B">
        <w:tc>
          <w:tcPr>
            <w:tcW w:w="5040" w:type="dxa"/>
          </w:tcPr>
          <w:p w14:paraId="297F37E9" w14:textId="77777777" w:rsidR="00670C79" w:rsidRPr="007872E4" w:rsidRDefault="00670C79" w:rsidP="00312FF3">
            <w:pPr>
              <w:spacing w:line="276" w:lineRule="auto"/>
              <w:jc w:val="both"/>
            </w:pPr>
            <w:r w:rsidRPr="007872E4">
              <w:t>2.Fundamentarea alegerii organizaţiilor cu care a avut loc consultarea, precum şi a modului în care activitatea acestor organizaţii este legată de obiectivul proiectului de act normativ</w:t>
            </w:r>
          </w:p>
        </w:tc>
        <w:tc>
          <w:tcPr>
            <w:tcW w:w="5220" w:type="dxa"/>
            <w:vAlign w:val="center"/>
          </w:tcPr>
          <w:p w14:paraId="10909C7F" w14:textId="77777777" w:rsidR="00670C79" w:rsidRPr="007872E4" w:rsidRDefault="00670C79" w:rsidP="00312FF3">
            <w:pPr>
              <w:spacing w:line="276" w:lineRule="auto"/>
              <w:jc w:val="both"/>
            </w:pPr>
            <w:r w:rsidRPr="007872E4">
              <w:t>Proiectul de act normativ nu se referă la acest subiect.</w:t>
            </w:r>
          </w:p>
        </w:tc>
      </w:tr>
      <w:tr w:rsidR="00520BE3" w:rsidRPr="007872E4" w14:paraId="19A2A59D" w14:textId="77777777" w:rsidTr="006A5A1B">
        <w:tc>
          <w:tcPr>
            <w:tcW w:w="5040" w:type="dxa"/>
          </w:tcPr>
          <w:p w14:paraId="53EA464B" w14:textId="77777777" w:rsidR="00670C79" w:rsidRPr="007872E4" w:rsidRDefault="00670C79" w:rsidP="00312FF3">
            <w:pPr>
              <w:spacing w:line="276" w:lineRule="auto"/>
              <w:jc w:val="both"/>
            </w:pPr>
            <w:r w:rsidRPr="007872E4">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220" w:type="dxa"/>
            <w:vAlign w:val="center"/>
          </w:tcPr>
          <w:p w14:paraId="5D978A54" w14:textId="134DC75D" w:rsidR="00670C79" w:rsidRPr="007872E4" w:rsidRDefault="004D210B" w:rsidP="00312FF3">
            <w:pPr>
              <w:spacing w:line="276" w:lineRule="auto"/>
              <w:jc w:val="both"/>
            </w:pPr>
            <w:r w:rsidRPr="007872E4">
              <w:t xml:space="preserve"> A fost realizată procedura de consultare în conformitate cu prevederile Ordonanței de urgență a Guvernului nr. 57/2019 privind Codul administrativ, cu completările ulterioare, precum și ale Hotărârii Guvernului nr. 521/2005 privind procedura de consultare a structurilor asociative ale autorităţilor administraţiei publice locale la elaborarea proiectelor de acte normative.</w:t>
            </w:r>
          </w:p>
        </w:tc>
      </w:tr>
      <w:tr w:rsidR="00520BE3" w:rsidRPr="007872E4" w14:paraId="0D4EB37E" w14:textId="77777777" w:rsidTr="006A5A1B">
        <w:tc>
          <w:tcPr>
            <w:tcW w:w="5040" w:type="dxa"/>
          </w:tcPr>
          <w:p w14:paraId="0FB83D7F" w14:textId="77777777" w:rsidR="00670C79" w:rsidRPr="007872E4" w:rsidRDefault="00670C79" w:rsidP="00312FF3">
            <w:pPr>
              <w:spacing w:line="276" w:lineRule="auto"/>
              <w:jc w:val="both"/>
            </w:pPr>
            <w:r w:rsidRPr="007872E4">
              <w:t xml:space="preserve">4.Consultările desfăşurate în cadrul consiliilor interministeriale, în conformitate cu prevederile Hotărârii Guvernului nr. 750/2005 privind </w:t>
            </w:r>
            <w:r w:rsidRPr="007872E4">
              <w:lastRenderedPageBreak/>
              <w:t>constituirea consiliilor interministeriale permanente</w:t>
            </w:r>
          </w:p>
        </w:tc>
        <w:tc>
          <w:tcPr>
            <w:tcW w:w="5220" w:type="dxa"/>
            <w:vAlign w:val="center"/>
          </w:tcPr>
          <w:p w14:paraId="2A1BF33A" w14:textId="77777777" w:rsidR="00670C79" w:rsidRPr="007872E4" w:rsidRDefault="00670C79" w:rsidP="00312FF3">
            <w:pPr>
              <w:spacing w:line="276" w:lineRule="auto"/>
              <w:jc w:val="both"/>
            </w:pPr>
            <w:r w:rsidRPr="007872E4">
              <w:lastRenderedPageBreak/>
              <w:t>Proiectul de act normativ nu se referă la acest subiect.</w:t>
            </w:r>
          </w:p>
        </w:tc>
      </w:tr>
      <w:tr w:rsidR="00520BE3" w:rsidRPr="007872E4" w14:paraId="5B65EE0A" w14:textId="77777777" w:rsidTr="006A5A1B">
        <w:tc>
          <w:tcPr>
            <w:tcW w:w="5040" w:type="dxa"/>
          </w:tcPr>
          <w:p w14:paraId="1F489DD3" w14:textId="77777777" w:rsidR="00670C79" w:rsidRPr="007872E4" w:rsidRDefault="00670C79" w:rsidP="00312FF3">
            <w:pPr>
              <w:spacing w:line="276" w:lineRule="auto"/>
            </w:pPr>
            <w:r w:rsidRPr="007872E4">
              <w:t>5.Informaţii privind avizarea de către:</w:t>
            </w:r>
          </w:p>
          <w:p w14:paraId="3FDB7235" w14:textId="77777777" w:rsidR="00670C79" w:rsidRPr="007872E4" w:rsidRDefault="00670C79" w:rsidP="00312FF3">
            <w:pPr>
              <w:spacing w:line="276" w:lineRule="auto"/>
            </w:pPr>
            <w:r w:rsidRPr="007872E4">
              <w:t>a) Consiliul legislativ</w:t>
            </w:r>
          </w:p>
          <w:p w14:paraId="60B92AD3" w14:textId="77777777" w:rsidR="00670C79" w:rsidRPr="007872E4" w:rsidRDefault="00670C79" w:rsidP="00312FF3">
            <w:pPr>
              <w:spacing w:line="276" w:lineRule="auto"/>
            </w:pPr>
            <w:r w:rsidRPr="007872E4">
              <w:t>b)Consiliul Suprem de Apărare a Ţării</w:t>
            </w:r>
          </w:p>
          <w:p w14:paraId="3AACDD1C" w14:textId="77777777" w:rsidR="00670C79" w:rsidRPr="007872E4" w:rsidRDefault="00670C79" w:rsidP="00312FF3">
            <w:pPr>
              <w:spacing w:line="276" w:lineRule="auto"/>
            </w:pPr>
            <w:r w:rsidRPr="007872E4">
              <w:t>c)Consiliul Economic şi Social</w:t>
            </w:r>
          </w:p>
          <w:p w14:paraId="14AB49B3" w14:textId="77777777" w:rsidR="00670C79" w:rsidRPr="007872E4" w:rsidRDefault="00670C79" w:rsidP="00312FF3">
            <w:pPr>
              <w:spacing w:line="276" w:lineRule="auto"/>
            </w:pPr>
            <w:r w:rsidRPr="007872E4">
              <w:t xml:space="preserve">d)Consiliul Concurenţei </w:t>
            </w:r>
          </w:p>
          <w:p w14:paraId="0A37194B" w14:textId="77777777" w:rsidR="00670C79" w:rsidRPr="007872E4" w:rsidRDefault="00670C79" w:rsidP="00312FF3">
            <w:pPr>
              <w:spacing w:line="276" w:lineRule="auto"/>
            </w:pPr>
            <w:r w:rsidRPr="007872E4">
              <w:t>e)Curtea de Conturi</w:t>
            </w:r>
          </w:p>
        </w:tc>
        <w:tc>
          <w:tcPr>
            <w:tcW w:w="5220" w:type="dxa"/>
            <w:vAlign w:val="center"/>
          </w:tcPr>
          <w:p w14:paraId="7ED20DBC" w14:textId="251E4CEB" w:rsidR="00670C79" w:rsidRPr="007872E4" w:rsidRDefault="004B13DF" w:rsidP="00312FF3">
            <w:pPr>
              <w:spacing w:line="276" w:lineRule="auto"/>
              <w:jc w:val="both"/>
            </w:pPr>
            <w:r w:rsidRPr="007872E4">
              <w:t>Prezentul proiect de act normativ este supus avizării Consiliului Legislativ</w:t>
            </w:r>
            <w:r w:rsidR="004D210B" w:rsidRPr="007872E4">
              <w:t xml:space="preserve"> și s-a solicitat punctul de vedere al</w:t>
            </w:r>
            <w:r w:rsidR="00EE79AE" w:rsidRPr="007872E4">
              <w:t xml:space="preserve"> </w:t>
            </w:r>
            <w:r w:rsidRPr="007872E4">
              <w:t>Cur</w:t>
            </w:r>
            <w:r w:rsidR="004D210B" w:rsidRPr="007872E4">
              <w:t>ții</w:t>
            </w:r>
            <w:r w:rsidRPr="007872E4">
              <w:t xml:space="preserve"> de Conturi</w:t>
            </w:r>
            <w:r w:rsidR="004C0503" w:rsidRPr="007872E4">
              <w:t xml:space="preserve"> și </w:t>
            </w:r>
            <w:r w:rsidR="00EE79AE" w:rsidRPr="007872E4">
              <w:t>al</w:t>
            </w:r>
            <w:r w:rsidRPr="007872E4">
              <w:t xml:space="preserve"> Autorit</w:t>
            </w:r>
            <w:r w:rsidR="00EE79AE" w:rsidRPr="007872E4">
              <w:t>ății</w:t>
            </w:r>
            <w:r w:rsidRPr="007872E4">
              <w:t xml:space="preserve"> de Audit din cadrul Curții de Conturi a României</w:t>
            </w:r>
            <w:r w:rsidR="004C0503" w:rsidRPr="007872E4">
              <w:t>.</w:t>
            </w:r>
          </w:p>
        </w:tc>
      </w:tr>
      <w:tr w:rsidR="006449AD" w:rsidRPr="007872E4" w14:paraId="4938D81B" w14:textId="77777777" w:rsidTr="006A5A1B">
        <w:tc>
          <w:tcPr>
            <w:tcW w:w="5040" w:type="dxa"/>
          </w:tcPr>
          <w:p w14:paraId="7069E280" w14:textId="77777777" w:rsidR="00670C79" w:rsidRPr="007872E4" w:rsidRDefault="00670C79" w:rsidP="00312FF3">
            <w:pPr>
              <w:spacing w:line="276" w:lineRule="auto"/>
            </w:pPr>
            <w:r w:rsidRPr="007872E4">
              <w:t>6.Alte informaţii</w:t>
            </w:r>
          </w:p>
        </w:tc>
        <w:tc>
          <w:tcPr>
            <w:tcW w:w="5220" w:type="dxa"/>
            <w:vAlign w:val="center"/>
          </w:tcPr>
          <w:p w14:paraId="292345C8" w14:textId="77777777" w:rsidR="00670C79" w:rsidRPr="007872E4" w:rsidRDefault="00670C79" w:rsidP="00312FF3">
            <w:pPr>
              <w:spacing w:line="276" w:lineRule="auto"/>
              <w:jc w:val="both"/>
            </w:pPr>
            <w:r w:rsidRPr="007872E4">
              <w:t>Nu au fost identificate.</w:t>
            </w:r>
          </w:p>
        </w:tc>
      </w:tr>
    </w:tbl>
    <w:p w14:paraId="236E2BC4" w14:textId="77777777" w:rsidR="008E7314" w:rsidRDefault="008E7314" w:rsidP="00312FF3">
      <w:pPr>
        <w:pStyle w:val="BodyTextIndent2"/>
        <w:spacing w:before="0" w:after="0" w:line="276" w:lineRule="auto"/>
        <w:ind w:left="180" w:right="98" w:firstLine="0"/>
        <w:jc w:val="both"/>
        <w:rPr>
          <w:bCs w:val="0"/>
          <w:sz w:val="24"/>
        </w:rPr>
      </w:pPr>
    </w:p>
    <w:p w14:paraId="24C76478" w14:textId="1598D69E" w:rsidR="00670C79" w:rsidRDefault="00670C79" w:rsidP="00312FF3">
      <w:pPr>
        <w:pStyle w:val="BodyTextIndent2"/>
        <w:spacing w:before="0" w:after="0" w:line="276" w:lineRule="auto"/>
        <w:ind w:left="180" w:right="98" w:firstLine="0"/>
        <w:jc w:val="both"/>
        <w:rPr>
          <w:bCs w:val="0"/>
          <w:sz w:val="24"/>
        </w:rPr>
      </w:pPr>
      <w:r w:rsidRPr="007872E4">
        <w:rPr>
          <w:bCs w:val="0"/>
          <w:sz w:val="24"/>
        </w:rPr>
        <w:t>Secţiunea a 7-a  Activităţi de informare publică privind elaborarea şi implementarea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6316"/>
      </w:tblGrid>
      <w:tr w:rsidR="00520BE3" w:rsidRPr="007872E4" w14:paraId="732E424B" w14:textId="77777777" w:rsidTr="008E5DAF">
        <w:tc>
          <w:tcPr>
            <w:tcW w:w="3924" w:type="dxa"/>
          </w:tcPr>
          <w:p w14:paraId="10660F36" w14:textId="77777777" w:rsidR="00670C79" w:rsidRPr="007872E4" w:rsidRDefault="00670C79" w:rsidP="00312FF3">
            <w:pPr>
              <w:spacing w:line="276" w:lineRule="auto"/>
              <w:jc w:val="both"/>
            </w:pPr>
            <w:r w:rsidRPr="007872E4">
              <w:t>1.Informarea societăţii civile cu privire la necesitatea elaborării proiectului de act normativ</w:t>
            </w:r>
          </w:p>
        </w:tc>
        <w:tc>
          <w:tcPr>
            <w:tcW w:w="6316" w:type="dxa"/>
          </w:tcPr>
          <w:p w14:paraId="36624643" w14:textId="1127F56E" w:rsidR="00670C79" w:rsidRPr="007872E4" w:rsidRDefault="006B075E" w:rsidP="00312FF3">
            <w:pPr>
              <w:spacing w:line="276" w:lineRule="auto"/>
              <w:jc w:val="both"/>
            </w:pPr>
            <w:r w:rsidRPr="007872E4">
              <w:t>Prezentul proiect de act normativ respectă prevederile art. 7 alin. (13) din Legea nr. 52/2003 privind transparența decizională în administrația publică, republicată, și a fost publicat în dezbatere publică pe pagina de internet a Ministerului</w:t>
            </w:r>
            <w:r w:rsidR="00D501A1" w:rsidRPr="007872E4">
              <w:t xml:space="preserve"> </w:t>
            </w:r>
            <w:r w:rsidR="00B523ED" w:rsidRPr="007872E4">
              <w:t>Investițiilor și Proiectelor</w:t>
            </w:r>
            <w:r w:rsidR="00D501A1" w:rsidRPr="007872E4">
              <w:t xml:space="preserve"> Europene la data de </w:t>
            </w:r>
            <w:r w:rsidR="006C7FDB">
              <w:t>4 februarie 2022</w:t>
            </w:r>
          </w:p>
        </w:tc>
      </w:tr>
      <w:tr w:rsidR="00520BE3" w:rsidRPr="007872E4" w14:paraId="585061CE" w14:textId="77777777" w:rsidTr="008E5DAF">
        <w:tc>
          <w:tcPr>
            <w:tcW w:w="3924" w:type="dxa"/>
          </w:tcPr>
          <w:p w14:paraId="50B21BCD" w14:textId="77777777" w:rsidR="00670C79" w:rsidRPr="007872E4" w:rsidRDefault="00670C79" w:rsidP="00312FF3">
            <w:pPr>
              <w:spacing w:line="276" w:lineRule="auto"/>
              <w:jc w:val="both"/>
            </w:pPr>
            <w:r w:rsidRPr="007872E4">
              <w:t>2.Informarea societăţii civile cu privire la eventualul impact asupra mediului în urma implementării proiectului de act normativ, precum şi efectele asupra sănătăţii şi securităţii cetăţeanului sau diversităţii biologice</w:t>
            </w:r>
          </w:p>
        </w:tc>
        <w:tc>
          <w:tcPr>
            <w:tcW w:w="6316" w:type="dxa"/>
          </w:tcPr>
          <w:p w14:paraId="5BE15852" w14:textId="77777777" w:rsidR="00670C79" w:rsidRPr="007872E4" w:rsidRDefault="00670C79" w:rsidP="00312FF3">
            <w:pPr>
              <w:spacing w:line="276" w:lineRule="auto"/>
              <w:jc w:val="both"/>
            </w:pPr>
          </w:p>
          <w:p w14:paraId="6F061B40" w14:textId="77777777" w:rsidR="00670C79" w:rsidRPr="007872E4" w:rsidRDefault="00670C79" w:rsidP="00312FF3">
            <w:pPr>
              <w:spacing w:line="276" w:lineRule="auto"/>
              <w:jc w:val="both"/>
            </w:pPr>
            <w:r w:rsidRPr="007872E4">
              <w:t>Proiectul de act normativ nu se referă la acest subiect.</w:t>
            </w:r>
          </w:p>
        </w:tc>
      </w:tr>
      <w:tr w:rsidR="00520BE3" w:rsidRPr="007872E4" w14:paraId="6330D92F" w14:textId="77777777" w:rsidTr="008E5DAF">
        <w:tc>
          <w:tcPr>
            <w:tcW w:w="3924" w:type="dxa"/>
          </w:tcPr>
          <w:p w14:paraId="1EC509E8" w14:textId="77777777" w:rsidR="00670C79" w:rsidRPr="007872E4" w:rsidRDefault="00670C79" w:rsidP="00312FF3">
            <w:pPr>
              <w:spacing w:line="276" w:lineRule="auto"/>
            </w:pPr>
            <w:r w:rsidRPr="007872E4">
              <w:t>3. Alte informaţii</w:t>
            </w:r>
          </w:p>
        </w:tc>
        <w:tc>
          <w:tcPr>
            <w:tcW w:w="6316" w:type="dxa"/>
            <w:vAlign w:val="center"/>
          </w:tcPr>
          <w:p w14:paraId="0819DC9B" w14:textId="00466D68" w:rsidR="00454D72" w:rsidRPr="007872E4" w:rsidRDefault="00670C79" w:rsidP="00312FF3">
            <w:pPr>
              <w:spacing w:line="276" w:lineRule="auto"/>
              <w:jc w:val="both"/>
            </w:pPr>
            <w:r w:rsidRPr="007872E4">
              <w:t>Nu au fost identificate.</w:t>
            </w:r>
          </w:p>
        </w:tc>
      </w:tr>
    </w:tbl>
    <w:p w14:paraId="5D74F2C4" w14:textId="706D708A" w:rsidR="00AA6FD4" w:rsidRPr="007872E4" w:rsidRDefault="00AA6FD4" w:rsidP="00312FF3">
      <w:pPr>
        <w:spacing w:line="276" w:lineRule="auto"/>
        <w:ind w:left="180"/>
        <w:rPr>
          <w:b/>
        </w:rPr>
      </w:pPr>
    </w:p>
    <w:p w14:paraId="3FBCA191" w14:textId="2F02A420" w:rsidR="00670C79" w:rsidRDefault="00670C79" w:rsidP="00312FF3">
      <w:pPr>
        <w:spacing w:line="276" w:lineRule="auto"/>
        <w:ind w:left="180"/>
        <w:rPr>
          <w:b/>
        </w:rPr>
      </w:pPr>
      <w:r w:rsidRPr="007872E4">
        <w:rPr>
          <w:b/>
        </w:rPr>
        <w:t>Secţiunea a 8- a. Măsuri de implementare</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329"/>
      </w:tblGrid>
      <w:tr w:rsidR="00520BE3" w:rsidRPr="007872E4" w14:paraId="5DF118D5" w14:textId="77777777" w:rsidTr="00E20EAD">
        <w:tc>
          <w:tcPr>
            <w:tcW w:w="3931" w:type="dxa"/>
          </w:tcPr>
          <w:p w14:paraId="428F02E7" w14:textId="397BA6B3" w:rsidR="00575BCE" w:rsidRPr="007872E4" w:rsidRDefault="00670C79" w:rsidP="00312FF3">
            <w:pPr>
              <w:spacing w:line="276" w:lineRule="auto"/>
              <w:jc w:val="both"/>
            </w:pPr>
            <w:r w:rsidRPr="007872E4">
              <w:t>1. Măsuri de punere în aplicare a proiectului de act normativ de către autorităţile administrative publice centrale şi/sau locale-înfiinţarea sau extinderea competenţei instituţiilor existente</w:t>
            </w:r>
          </w:p>
        </w:tc>
        <w:tc>
          <w:tcPr>
            <w:tcW w:w="6329" w:type="dxa"/>
            <w:vAlign w:val="center"/>
          </w:tcPr>
          <w:p w14:paraId="036F3FD9" w14:textId="77777777" w:rsidR="00670C79" w:rsidRPr="007872E4" w:rsidRDefault="00670C79" w:rsidP="00312FF3">
            <w:pPr>
              <w:pStyle w:val="Heading1"/>
              <w:spacing w:line="276" w:lineRule="auto"/>
              <w:jc w:val="both"/>
              <w:rPr>
                <w:sz w:val="24"/>
              </w:rPr>
            </w:pPr>
            <w:r w:rsidRPr="007872E4">
              <w:rPr>
                <w:sz w:val="24"/>
              </w:rPr>
              <w:t>Proiectul de act normativ nu se referă la acest subiect.</w:t>
            </w:r>
          </w:p>
        </w:tc>
      </w:tr>
      <w:tr w:rsidR="00520BE3" w:rsidRPr="007872E4" w14:paraId="527F2573" w14:textId="77777777" w:rsidTr="00E20EAD">
        <w:tc>
          <w:tcPr>
            <w:tcW w:w="3931" w:type="dxa"/>
          </w:tcPr>
          <w:p w14:paraId="05529BA5" w14:textId="77777777" w:rsidR="00670C79" w:rsidRPr="007872E4" w:rsidRDefault="00670C79" w:rsidP="00312FF3">
            <w:pPr>
              <w:spacing w:line="276" w:lineRule="auto"/>
              <w:jc w:val="both"/>
            </w:pPr>
            <w:r w:rsidRPr="007872E4">
              <w:t>2. Alte informaţii</w:t>
            </w:r>
          </w:p>
        </w:tc>
        <w:tc>
          <w:tcPr>
            <w:tcW w:w="6329" w:type="dxa"/>
            <w:vAlign w:val="center"/>
          </w:tcPr>
          <w:p w14:paraId="4D29AA82" w14:textId="6FD4430D" w:rsidR="00575BCE" w:rsidRPr="007872E4" w:rsidRDefault="00670C79" w:rsidP="00312FF3">
            <w:pPr>
              <w:spacing w:line="276" w:lineRule="auto"/>
              <w:jc w:val="both"/>
            </w:pPr>
            <w:r w:rsidRPr="007872E4">
              <w:t>Nu au fost identificate.</w:t>
            </w:r>
          </w:p>
        </w:tc>
      </w:tr>
    </w:tbl>
    <w:p w14:paraId="226E381F" w14:textId="796BD214" w:rsidR="00680184" w:rsidRDefault="00680184" w:rsidP="00312FF3">
      <w:pPr>
        <w:widowControl w:val="0"/>
        <w:spacing w:line="276" w:lineRule="auto"/>
        <w:jc w:val="both"/>
      </w:pPr>
    </w:p>
    <w:p w14:paraId="3E9C5BFD" w14:textId="77777777" w:rsidR="000327C6" w:rsidRDefault="000327C6" w:rsidP="00312FF3">
      <w:pPr>
        <w:widowControl w:val="0"/>
        <w:spacing w:line="276" w:lineRule="auto"/>
        <w:jc w:val="both"/>
      </w:pPr>
    </w:p>
    <w:p w14:paraId="02C0FE74" w14:textId="77777777" w:rsidR="000327C6" w:rsidRDefault="000327C6" w:rsidP="00312FF3">
      <w:pPr>
        <w:widowControl w:val="0"/>
        <w:spacing w:line="276" w:lineRule="auto"/>
        <w:jc w:val="both"/>
      </w:pPr>
    </w:p>
    <w:p w14:paraId="10778E05" w14:textId="77777777" w:rsidR="000327C6" w:rsidRDefault="000327C6" w:rsidP="00312FF3">
      <w:pPr>
        <w:widowControl w:val="0"/>
        <w:spacing w:line="276" w:lineRule="auto"/>
        <w:jc w:val="both"/>
      </w:pPr>
    </w:p>
    <w:p w14:paraId="12738BE7" w14:textId="4C4CDDC7" w:rsidR="000327C6" w:rsidRDefault="000327C6" w:rsidP="00312FF3">
      <w:pPr>
        <w:widowControl w:val="0"/>
        <w:spacing w:line="276" w:lineRule="auto"/>
        <w:jc w:val="both"/>
      </w:pPr>
    </w:p>
    <w:p w14:paraId="3BE4ECBE" w14:textId="25F08745" w:rsidR="00DA7BC7" w:rsidRDefault="00DA7BC7" w:rsidP="00312FF3">
      <w:pPr>
        <w:widowControl w:val="0"/>
        <w:spacing w:line="276" w:lineRule="auto"/>
        <w:jc w:val="both"/>
      </w:pPr>
    </w:p>
    <w:p w14:paraId="17821FCF" w14:textId="09F3E3CC" w:rsidR="00DA7BC7" w:rsidRDefault="00DA7BC7" w:rsidP="00312FF3">
      <w:pPr>
        <w:widowControl w:val="0"/>
        <w:spacing w:line="276" w:lineRule="auto"/>
        <w:jc w:val="both"/>
      </w:pPr>
    </w:p>
    <w:p w14:paraId="6C76B95D" w14:textId="08CD777C" w:rsidR="00DA7BC7" w:rsidRDefault="00DA7BC7" w:rsidP="00312FF3">
      <w:pPr>
        <w:widowControl w:val="0"/>
        <w:spacing w:line="276" w:lineRule="auto"/>
        <w:jc w:val="both"/>
      </w:pPr>
    </w:p>
    <w:p w14:paraId="4D6D91C2" w14:textId="3C279FBD" w:rsidR="00DA7BC7" w:rsidRDefault="00DA7BC7" w:rsidP="00312FF3">
      <w:pPr>
        <w:widowControl w:val="0"/>
        <w:spacing w:line="276" w:lineRule="auto"/>
        <w:jc w:val="both"/>
      </w:pPr>
    </w:p>
    <w:p w14:paraId="5727EAA1" w14:textId="77777777" w:rsidR="00DA7BC7" w:rsidRDefault="00DA7BC7" w:rsidP="00312FF3">
      <w:pPr>
        <w:widowControl w:val="0"/>
        <w:spacing w:line="276" w:lineRule="auto"/>
        <w:jc w:val="both"/>
      </w:pPr>
    </w:p>
    <w:p w14:paraId="028C6EA4" w14:textId="77777777" w:rsidR="000327C6" w:rsidRDefault="000327C6" w:rsidP="00312FF3">
      <w:pPr>
        <w:widowControl w:val="0"/>
        <w:spacing w:line="276" w:lineRule="auto"/>
        <w:jc w:val="both"/>
      </w:pPr>
    </w:p>
    <w:p w14:paraId="3E04C242" w14:textId="77777777" w:rsidR="007F313D" w:rsidRDefault="007F313D" w:rsidP="00312FF3">
      <w:pPr>
        <w:widowControl w:val="0"/>
        <w:spacing w:line="276" w:lineRule="auto"/>
        <w:jc w:val="both"/>
      </w:pPr>
    </w:p>
    <w:p w14:paraId="04ED1DF1" w14:textId="5602A1C4" w:rsidR="006B075E" w:rsidRPr="007872E4" w:rsidRDefault="007C3CB1" w:rsidP="00312FF3">
      <w:pPr>
        <w:widowControl w:val="0"/>
        <w:spacing w:line="276" w:lineRule="auto"/>
        <w:jc w:val="both"/>
      </w:pPr>
      <w:r w:rsidRPr="007872E4">
        <w:t>Față</w:t>
      </w:r>
      <w:r w:rsidR="00670C79" w:rsidRPr="007872E4">
        <w:t xml:space="preserve"> de cele prezentate mai sus, a fost promovat prezentul proiect de </w:t>
      </w:r>
      <w:r w:rsidR="007E2B3E" w:rsidRPr="007872E4">
        <w:rPr>
          <w:b/>
          <w:i/>
          <w:lang w:eastAsia="ro-RO"/>
        </w:rPr>
        <w:t xml:space="preserve">Ordonanță de urgență </w:t>
      </w:r>
      <w:r w:rsidR="00BE4A53" w:rsidRPr="007872E4">
        <w:rPr>
          <w:b/>
          <w:i/>
          <w:lang w:eastAsia="ro-RO"/>
        </w:rPr>
        <w:t>pentru modificarea și completarea unor acte normative în domeniul gestionării financiare a fondurilor europene și pentru adoptarea unor măsuri privind beneficiarii de fonduri europene</w:t>
      </w:r>
      <w:r w:rsidR="005E494D" w:rsidRPr="007872E4">
        <w:rPr>
          <w:b/>
        </w:rPr>
        <w:t xml:space="preserve">, </w:t>
      </w:r>
      <w:r w:rsidR="00E07299" w:rsidRPr="007872E4">
        <w:t>care</w:t>
      </w:r>
      <w:r w:rsidR="00670C79" w:rsidRPr="007872E4">
        <w:t xml:space="preserve"> în forma prezentată, a fost avizat de </w:t>
      </w:r>
      <w:r w:rsidR="008752C0" w:rsidRPr="007872E4">
        <w:t xml:space="preserve">Consiliul Legislativ, precum şi de către </w:t>
      </w:r>
      <w:r w:rsidR="00670C79" w:rsidRPr="007872E4">
        <w:t>ministerele interesate şi pe care îl supunem adoptării.</w:t>
      </w:r>
    </w:p>
    <w:p w14:paraId="3054FE2B" w14:textId="47A7883E" w:rsidR="008C471E" w:rsidRPr="007872E4" w:rsidRDefault="008C471E" w:rsidP="00312FF3">
      <w:pPr>
        <w:widowControl w:val="0"/>
        <w:spacing w:line="276" w:lineRule="auto"/>
        <w:jc w:val="both"/>
        <w:rPr>
          <w:b/>
          <w:lang w:eastAsia="ro-RO"/>
        </w:rPr>
      </w:pPr>
    </w:p>
    <w:p w14:paraId="01229D73" w14:textId="77777777" w:rsidR="008C471E" w:rsidRPr="007872E4" w:rsidRDefault="008C471E" w:rsidP="00312FF3">
      <w:pPr>
        <w:widowControl w:val="0"/>
        <w:spacing w:line="276" w:lineRule="auto"/>
        <w:jc w:val="both"/>
        <w:rPr>
          <w:b/>
          <w:lang w:eastAsia="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078"/>
      </w:tblGrid>
      <w:tr w:rsidR="001E7255" w:rsidRPr="007872E4" w14:paraId="0A365F3B" w14:textId="19CCBB65" w:rsidTr="00BE7875">
        <w:trPr>
          <w:trHeight w:val="2445"/>
        </w:trPr>
        <w:tc>
          <w:tcPr>
            <w:tcW w:w="5387" w:type="dxa"/>
          </w:tcPr>
          <w:p w14:paraId="7A60C5DC" w14:textId="6E5863DD" w:rsidR="001E7255" w:rsidRDefault="001E7255" w:rsidP="00312FF3">
            <w:pPr>
              <w:spacing w:line="276" w:lineRule="auto"/>
              <w:jc w:val="center"/>
              <w:rPr>
                <w:b/>
                <w:bCs/>
              </w:rPr>
            </w:pPr>
            <w:r w:rsidRPr="007872E4">
              <w:rPr>
                <w:b/>
                <w:bCs/>
              </w:rPr>
              <w:t>MINISTRUL INVESTIȚIILOR ȘI PROIECTELOR EUROPENE</w:t>
            </w:r>
          </w:p>
          <w:p w14:paraId="4FFC0886" w14:textId="77777777" w:rsidR="00065ABC" w:rsidRDefault="00065ABC" w:rsidP="00312FF3">
            <w:pPr>
              <w:spacing w:line="276" w:lineRule="auto"/>
              <w:jc w:val="center"/>
              <w:rPr>
                <w:b/>
                <w:bCs/>
              </w:rPr>
            </w:pPr>
          </w:p>
          <w:p w14:paraId="6D937976" w14:textId="23BDE6B5" w:rsidR="001E7255" w:rsidRPr="007872E4" w:rsidRDefault="00065ABC" w:rsidP="00312FF3">
            <w:pPr>
              <w:spacing w:line="276" w:lineRule="auto"/>
              <w:jc w:val="center"/>
              <w:rPr>
                <w:b/>
                <w:bCs/>
              </w:rPr>
            </w:pPr>
            <w:r>
              <w:rPr>
                <w:b/>
                <w:bCs/>
              </w:rPr>
              <w:t>Dan VÎLCEANU</w:t>
            </w:r>
          </w:p>
          <w:p w14:paraId="5F247874" w14:textId="310B5BAA" w:rsidR="001E7255" w:rsidRPr="007872E4" w:rsidRDefault="001E7255" w:rsidP="00F255F5">
            <w:pPr>
              <w:spacing w:line="276" w:lineRule="auto"/>
              <w:jc w:val="center"/>
              <w:rPr>
                <w:sz w:val="22"/>
                <w:szCs w:val="22"/>
              </w:rPr>
            </w:pPr>
          </w:p>
        </w:tc>
        <w:tc>
          <w:tcPr>
            <w:tcW w:w="5103" w:type="dxa"/>
          </w:tcPr>
          <w:p w14:paraId="7B8634C3" w14:textId="335E7F9A" w:rsidR="00CA723F" w:rsidRDefault="008B2814" w:rsidP="00312FF3">
            <w:pPr>
              <w:spacing w:line="276" w:lineRule="auto"/>
              <w:jc w:val="center"/>
              <w:rPr>
                <w:b/>
                <w:bCs/>
              </w:rPr>
            </w:pPr>
            <w:r w:rsidRPr="006F2A8A">
              <w:rPr>
                <w:b/>
                <w:bCs/>
              </w:rPr>
              <w:t>VICEPRIM-MINISTRU</w:t>
            </w:r>
            <w:r>
              <w:rPr>
                <w:b/>
                <w:bCs/>
              </w:rPr>
              <w:t>,</w:t>
            </w:r>
            <w:r w:rsidRPr="007872E4">
              <w:rPr>
                <w:b/>
                <w:bCs/>
              </w:rPr>
              <w:t xml:space="preserve"> </w:t>
            </w:r>
            <w:r w:rsidR="00CA723F" w:rsidRPr="007872E4">
              <w:rPr>
                <w:b/>
                <w:bCs/>
              </w:rPr>
              <w:t>MINISTRUL TRANSPORTURILOR</w:t>
            </w:r>
            <w:r w:rsidR="00B92D82">
              <w:rPr>
                <w:b/>
                <w:bCs/>
              </w:rPr>
              <w:t xml:space="preserve"> ŞI</w:t>
            </w:r>
            <w:r w:rsidR="00CA723F" w:rsidRPr="007872E4">
              <w:rPr>
                <w:b/>
                <w:bCs/>
              </w:rPr>
              <w:t xml:space="preserve"> INFRASTRUCTURII </w:t>
            </w:r>
          </w:p>
          <w:p w14:paraId="20BA6D5A" w14:textId="77777777" w:rsidR="00065ABC" w:rsidRPr="007872E4" w:rsidRDefault="00065ABC" w:rsidP="00312FF3">
            <w:pPr>
              <w:spacing w:line="276" w:lineRule="auto"/>
              <w:jc w:val="center"/>
              <w:rPr>
                <w:b/>
                <w:bCs/>
              </w:rPr>
            </w:pPr>
          </w:p>
          <w:p w14:paraId="5E3DD3C7" w14:textId="4B86D28D" w:rsidR="002153E2" w:rsidRPr="007872E4" w:rsidRDefault="00065ABC" w:rsidP="0075464B">
            <w:pPr>
              <w:spacing w:line="276" w:lineRule="auto"/>
              <w:jc w:val="center"/>
              <w:rPr>
                <w:b/>
                <w:bCs/>
              </w:rPr>
            </w:pPr>
            <w:r w:rsidRPr="00AF5EEF">
              <w:rPr>
                <w:b/>
                <w:bCs/>
              </w:rPr>
              <w:t xml:space="preserve">Sorin </w:t>
            </w:r>
            <w:r>
              <w:rPr>
                <w:b/>
                <w:bCs/>
              </w:rPr>
              <w:t xml:space="preserve">Mihai </w:t>
            </w:r>
            <w:r w:rsidRPr="00AF5EEF">
              <w:rPr>
                <w:b/>
                <w:bCs/>
              </w:rPr>
              <w:t>GRINDEANU</w:t>
            </w:r>
          </w:p>
        </w:tc>
      </w:tr>
      <w:tr w:rsidR="00CA723F" w:rsidRPr="007872E4" w14:paraId="36C5B4E1" w14:textId="77777777" w:rsidTr="00CA723F">
        <w:tc>
          <w:tcPr>
            <w:tcW w:w="10490" w:type="dxa"/>
            <w:gridSpan w:val="2"/>
          </w:tcPr>
          <w:p w14:paraId="588369F2" w14:textId="77777777" w:rsidR="00CA723F" w:rsidRPr="007872E4" w:rsidRDefault="00CA723F" w:rsidP="0075464B">
            <w:pPr>
              <w:spacing w:line="276" w:lineRule="auto"/>
              <w:jc w:val="center"/>
              <w:rPr>
                <w:b/>
              </w:rPr>
            </w:pPr>
            <w:r w:rsidRPr="007872E4">
              <w:rPr>
                <w:b/>
              </w:rPr>
              <w:t>MINISTRUL DEZVOLTĂRII, LUCRĂRILOR PUBLICE</w:t>
            </w:r>
          </w:p>
          <w:p w14:paraId="052B6F08" w14:textId="312C6686" w:rsidR="00CA723F" w:rsidRDefault="00CA723F" w:rsidP="0075464B">
            <w:pPr>
              <w:spacing w:line="276" w:lineRule="auto"/>
              <w:jc w:val="center"/>
              <w:rPr>
                <w:b/>
              </w:rPr>
            </w:pPr>
            <w:r w:rsidRPr="007872E4">
              <w:rPr>
                <w:b/>
              </w:rPr>
              <w:t xml:space="preserve"> ŞI ADMINISTRAȚIEI </w:t>
            </w:r>
          </w:p>
          <w:p w14:paraId="0F65EF56" w14:textId="77777777" w:rsidR="00065ABC" w:rsidRDefault="00065ABC" w:rsidP="0075464B">
            <w:pPr>
              <w:spacing w:line="276" w:lineRule="auto"/>
              <w:jc w:val="center"/>
              <w:rPr>
                <w:b/>
              </w:rPr>
            </w:pPr>
          </w:p>
          <w:p w14:paraId="6E4F3209" w14:textId="0E4956BF" w:rsidR="00CA723F" w:rsidRPr="007872E4" w:rsidRDefault="00065ABC" w:rsidP="0075464B">
            <w:pPr>
              <w:spacing w:line="276" w:lineRule="auto"/>
              <w:jc w:val="center"/>
              <w:rPr>
                <w:b/>
              </w:rPr>
            </w:pPr>
            <w:r>
              <w:rPr>
                <w:b/>
                <w:bCs/>
              </w:rPr>
              <w:t>CSEKE Attila-Zolt</w:t>
            </w:r>
            <w:r w:rsidRPr="004562CD">
              <w:rPr>
                <w:b/>
                <w:bCs/>
              </w:rPr>
              <w:t>á</w:t>
            </w:r>
            <w:r>
              <w:rPr>
                <w:b/>
                <w:bCs/>
              </w:rPr>
              <w:t>n</w:t>
            </w:r>
          </w:p>
          <w:p w14:paraId="116A5182" w14:textId="07B8E47C" w:rsidR="00CA723F" w:rsidRPr="007872E4" w:rsidRDefault="00CA723F" w:rsidP="0075464B">
            <w:pPr>
              <w:spacing w:line="276" w:lineRule="auto"/>
              <w:jc w:val="center"/>
              <w:rPr>
                <w:b/>
              </w:rPr>
            </w:pPr>
          </w:p>
        </w:tc>
      </w:tr>
    </w:tbl>
    <w:p w14:paraId="199332E3" w14:textId="77777777" w:rsidR="00EE79AE" w:rsidRPr="007872E4" w:rsidRDefault="00EE79AE" w:rsidP="0075464B">
      <w:pPr>
        <w:spacing w:line="276" w:lineRule="auto"/>
        <w:jc w:val="both"/>
        <w:rPr>
          <w:sz w:val="22"/>
          <w:szCs w:val="22"/>
        </w:rPr>
      </w:pPr>
    </w:p>
    <w:p w14:paraId="5183F050" w14:textId="728240DB" w:rsidR="005D4F6E" w:rsidRDefault="005D4F6E" w:rsidP="0075464B">
      <w:pPr>
        <w:spacing w:after="240" w:line="276" w:lineRule="auto"/>
        <w:jc w:val="center"/>
        <w:rPr>
          <w:b/>
          <w:u w:val="single"/>
        </w:rPr>
      </w:pPr>
      <w:r w:rsidRPr="007872E4">
        <w:rPr>
          <w:b/>
          <w:u w:val="single"/>
        </w:rPr>
        <w:t>AVIZĂM FAVORABIL:</w:t>
      </w:r>
    </w:p>
    <w:p w14:paraId="3719A341" w14:textId="06E80042" w:rsidR="00065ABC" w:rsidRDefault="00065ABC" w:rsidP="0075464B">
      <w:pPr>
        <w:spacing w:after="120"/>
        <w:jc w:val="center"/>
        <w:rPr>
          <w:b/>
          <w:bCs/>
        </w:rPr>
      </w:pPr>
      <w:r w:rsidRPr="006F2A8A">
        <w:rPr>
          <w:b/>
          <w:bCs/>
        </w:rPr>
        <w:t>VICEPRIM-MINISTRU</w:t>
      </w:r>
    </w:p>
    <w:p w14:paraId="0D5E8566" w14:textId="77777777" w:rsidR="00065ABC" w:rsidRDefault="00065ABC" w:rsidP="0075464B">
      <w:pPr>
        <w:spacing w:after="120"/>
        <w:jc w:val="center"/>
        <w:rPr>
          <w:b/>
          <w:bCs/>
        </w:rPr>
      </w:pPr>
    </w:p>
    <w:p w14:paraId="6D98BF17" w14:textId="7486E7D7" w:rsidR="00065ABC" w:rsidRDefault="00065ABC" w:rsidP="0075464B">
      <w:pPr>
        <w:spacing w:after="120"/>
        <w:jc w:val="center"/>
        <w:rPr>
          <w:b/>
          <w:bCs/>
        </w:rPr>
      </w:pPr>
      <w:r w:rsidRPr="00AF5EEF">
        <w:rPr>
          <w:b/>
          <w:bCs/>
        </w:rPr>
        <w:t xml:space="preserve">KELEMEN Hunor </w:t>
      </w:r>
    </w:p>
    <w:p w14:paraId="76791F09" w14:textId="77777777" w:rsidR="0075464B" w:rsidRDefault="0075464B" w:rsidP="0075464B">
      <w:pPr>
        <w:spacing w:after="120"/>
        <w:jc w:val="center"/>
        <w:rPr>
          <w:b/>
          <w:bCs/>
        </w:rPr>
      </w:pPr>
    </w:p>
    <w:p w14:paraId="46878AC1" w14:textId="77777777" w:rsidR="00922398" w:rsidRPr="00922398" w:rsidRDefault="00922398" w:rsidP="0075464B">
      <w:pPr>
        <w:jc w:val="center"/>
        <w:rPr>
          <w:b/>
          <w:bCs/>
        </w:rPr>
      </w:pPr>
    </w:p>
    <w:p w14:paraId="58E2E7CD" w14:textId="77777777" w:rsidR="00922398" w:rsidRPr="00922398" w:rsidRDefault="00922398" w:rsidP="0075464B">
      <w:pPr>
        <w:jc w:val="center"/>
        <w:rPr>
          <w:b/>
          <w:bC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1E7255" w:rsidRPr="007872E4" w14:paraId="67DCF2F2" w14:textId="77777777" w:rsidTr="001E7255">
        <w:trPr>
          <w:trHeight w:val="1394"/>
        </w:trPr>
        <w:tc>
          <w:tcPr>
            <w:tcW w:w="10206" w:type="dxa"/>
          </w:tcPr>
          <w:p w14:paraId="05215EDD" w14:textId="5733D7E6" w:rsidR="001E7255" w:rsidRPr="007872E4" w:rsidRDefault="001E7255" w:rsidP="0075464B">
            <w:pPr>
              <w:spacing w:line="276" w:lineRule="auto"/>
              <w:jc w:val="center"/>
              <w:rPr>
                <w:b/>
                <w:bCs/>
              </w:rPr>
            </w:pPr>
            <w:r w:rsidRPr="007872E4">
              <w:rPr>
                <w:b/>
                <w:bCs/>
              </w:rPr>
              <w:t>MINISTRUL FINANŢELOR</w:t>
            </w:r>
          </w:p>
          <w:p w14:paraId="0A267F41" w14:textId="048F121E" w:rsidR="003A7570" w:rsidRPr="003A7570" w:rsidRDefault="003A7570" w:rsidP="0075464B">
            <w:pPr>
              <w:spacing w:line="276" w:lineRule="auto"/>
              <w:rPr>
                <w:b/>
              </w:rPr>
            </w:pPr>
          </w:p>
          <w:p w14:paraId="3F13E6A9" w14:textId="05451DFA" w:rsidR="001E7255" w:rsidRPr="007872E4" w:rsidRDefault="00065ABC" w:rsidP="0075464B">
            <w:pPr>
              <w:spacing w:line="276" w:lineRule="auto"/>
              <w:jc w:val="center"/>
              <w:rPr>
                <w:b/>
                <w:u w:val="single"/>
              </w:rPr>
            </w:pPr>
            <w:r w:rsidRPr="00AF5EEF">
              <w:rPr>
                <w:b/>
                <w:bCs/>
              </w:rPr>
              <w:t>Adrian CÂCIU</w:t>
            </w:r>
          </w:p>
          <w:p w14:paraId="12505D2D" w14:textId="77777777" w:rsidR="001E7255" w:rsidRDefault="001E7255" w:rsidP="0075464B">
            <w:pPr>
              <w:spacing w:line="276" w:lineRule="auto"/>
              <w:jc w:val="center"/>
              <w:rPr>
                <w:b/>
                <w:u w:val="single"/>
              </w:rPr>
            </w:pPr>
          </w:p>
          <w:p w14:paraId="5012448F" w14:textId="48557AAF" w:rsidR="00922398" w:rsidRPr="007872E4" w:rsidRDefault="00922398" w:rsidP="0075464B">
            <w:pPr>
              <w:spacing w:line="276" w:lineRule="auto"/>
              <w:jc w:val="center"/>
              <w:rPr>
                <w:b/>
                <w:u w:val="single"/>
              </w:rPr>
            </w:pPr>
          </w:p>
        </w:tc>
      </w:tr>
      <w:tr w:rsidR="00AA6FD4" w:rsidRPr="007872E4" w14:paraId="6B1AB8B3" w14:textId="77777777" w:rsidTr="001E7255">
        <w:trPr>
          <w:trHeight w:val="1129"/>
        </w:trPr>
        <w:tc>
          <w:tcPr>
            <w:tcW w:w="10206" w:type="dxa"/>
          </w:tcPr>
          <w:p w14:paraId="36DE3466" w14:textId="4E2D8278" w:rsidR="00AA6FD4" w:rsidRDefault="00AA6FD4" w:rsidP="0075464B">
            <w:pPr>
              <w:shd w:val="clear" w:color="auto" w:fill="FFFFFF"/>
              <w:spacing w:line="276" w:lineRule="auto"/>
              <w:jc w:val="center"/>
              <w:rPr>
                <w:rFonts w:eastAsia="Arial Unicode MS"/>
                <w:b/>
              </w:rPr>
            </w:pPr>
            <w:r w:rsidRPr="007872E4">
              <w:rPr>
                <w:rFonts w:eastAsia="Arial Unicode MS"/>
                <w:b/>
              </w:rPr>
              <w:t>MINISTRUL JUSTIŢIEI</w:t>
            </w:r>
          </w:p>
          <w:p w14:paraId="42F305B1" w14:textId="77777777" w:rsidR="00065ABC" w:rsidRDefault="00065ABC" w:rsidP="00B30608">
            <w:pPr>
              <w:shd w:val="clear" w:color="auto" w:fill="FFFFFF"/>
              <w:spacing w:line="276" w:lineRule="auto"/>
              <w:jc w:val="center"/>
              <w:rPr>
                <w:rFonts w:eastAsia="Arial Unicode MS"/>
                <w:b/>
              </w:rPr>
            </w:pPr>
          </w:p>
          <w:p w14:paraId="7A4ED4DC" w14:textId="77777777" w:rsidR="00065ABC" w:rsidRPr="007872E4" w:rsidRDefault="00065ABC" w:rsidP="0075464B">
            <w:pPr>
              <w:shd w:val="clear" w:color="auto" w:fill="FFFFFF"/>
              <w:spacing w:line="276" w:lineRule="auto"/>
              <w:jc w:val="center"/>
              <w:rPr>
                <w:rFonts w:eastAsia="Arial Unicode MS"/>
                <w:b/>
              </w:rPr>
            </w:pPr>
            <w:r>
              <w:rPr>
                <w:b/>
              </w:rPr>
              <w:t>Marian-</w:t>
            </w:r>
            <w:hyperlink r:id="rId8" w:history="1">
              <w:r>
                <w:rPr>
                  <w:b/>
                </w:rPr>
                <w:t>Cătălin</w:t>
              </w:r>
            </w:hyperlink>
            <w:r>
              <w:rPr>
                <w:b/>
              </w:rPr>
              <w:t xml:space="preserve"> PREDOIU</w:t>
            </w:r>
          </w:p>
          <w:p w14:paraId="76A063E3" w14:textId="77777777" w:rsidR="00065ABC" w:rsidRPr="007872E4" w:rsidRDefault="00065ABC" w:rsidP="0075464B">
            <w:pPr>
              <w:shd w:val="clear" w:color="auto" w:fill="FFFFFF"/>
              <w:spacing w:line="276" w:lineRule="auto"/>
              <w:rPr>
                <w:rFonts w:eastAsia="Arial Unicode MS"/>
                <w:b/>
              </w:rPr>
            </w:pPr>
          </w:p>
          <w:p w14:paraId="5C029BAA" w14:textId="6AD92F35" w:rsidR="00AA6FD4" w:rsidRPr="007872E4" w:rsidRDefault="00922398" w:rsidP="00B30608">
            <w:pPr>
              <w:spacing w:after="120" w:line="276" w:lineRule="auto"/>
              <w:rPr>
                <w:b/>
                <w:u w:val="single"/>
              </w:rPr>
            </w:pPr>
            <w:r>
              <w:rPr>
                <w:rFonts w:eastAsia="Arial Unicode MS"/>
                <w:b/>
              </w:rPr>
              <w:t xml:space="preserve">                                                             </w:t>
            </w:r>
          </w:p>
        </w:tc>
      </w:tr>
    </w:tbl>
    <w:p w14:paraId="114F0EB0" w14:textId="2D5839A6" w:rsidR="007872E4" w:rsidRDefault="007872E4" w:rsidP="0075464B">
      <w:pPr>
        <w:spacing w:after="160" w:line="276" w:lineRule="auto"/>
        <w:rPr>
          <w:rFonts w:ascii="Trebuchet MS" w:eastAsia="Calibri" w:hAnsi="Trebuchet MS"/>
          <w:b/>
          <w:sz w:val="22"/>
          <w:szCs w:val="22"/>
        </w:rPr>
      </w:pPr>
    </w:p>
    <w:p w14:paraId="2CA85359" w14:textId="7D79083D" w:rsidR="00DA6976" w:rsidRDefault="00DA6976" w:rsidP="00312FF3">
      <w:pPr>
        <w:spacing w:after="160" w:line="276" w:lineRule="auto"/>
        <w:rPr>
          <w:rFonts w:ascii="Trebuchet MS" w:eastAsia="Calibri" w:hAnsi="Trebuchet MS"/>
          <w:b/>
          <w:sz w:val="22"/>
          <w:szCs w:val="22"/>
        </w:rPr>
      </w:pPr>
    </w:p>
    <w:p w14:paraId="273E0ADE" w14:textId="1E060D26" w:rsidR="00837CB2" w:rsidRDefault="00837CB2" w:rsidP="00312FF3">
      <w:pPr>
        <w:spacing w:after="160" w:line="276" w:lineRule="auto"/>
        <w:rPr>
          <w:rFonts w:ascii="Trebuchet MS" w:eastAsia="Calibri" w:hAnsi="Trebuchet MS"/>
          <w:b/>
          <w:sz w:val="22"/>
          <w:szCs w:val="22"/>
        </w:rPr>
      </w:pPr>
    </w:p>
    <w:sectPr w:rsidR="00837CB2" w:rsidSect="008E1534">
      <w:footerReference w:type="even" r:id="rId9"/>
      <w:footerReference w:type="default" r:id="rId10"/>
      <w:pgSz w:w="12240" w:h="15840"/>
      <w:pgMar w:top="73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18C1" w14:textId="77777777" w:rsidR="00FF6E20" w:rsidRDefault="00FF6E20">
      <w:r>
        <w:separator/>
      </w:r>
    </w:p>
  </w:endnote>
  <w:endnote w:type="continuationSeparator" w:id="0">
    <w:p w14:paraId="09ED181A" w14:textId="77777777" w:rsidR="00FF6E20" w:rsidRDefault="00FF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8418" w14:textId="77777777" w:rsidR="00EA23CB" w:rsidRDefault="00670C79" w:rsidP="00AC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33C72" w14:textId="77777777" w:rsidR="00EA23CB" w:rsidRDefault="00FF6E20" w:rsidP="001C5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F9A" w14:textId="77777777" w:rsidR="00EA23CB" w:rsidRDefault="00FF6E20" w:rsidP="001C58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BBC6" w14:textId="77777777" w:rsidR="00FF6E20" w:rsidRDefault="00FF6E20">
      <w:r>
        <w:separator/>
      </w:r>
    </w:p>
  </w:footnote>
  <w:footnote w:type="continuationSeparator" w:id="0">
    <w:p w14:paraId="78EE846F" w14:textId="77777777" w:rsidR="00FF6E20" w:rsidRDefault="00FF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5A5"/>
    <w:multiLevelType w:val="hybridMultilevel"/>
    <w:tmpl w:val="55CA8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A3863"/>
    <w:multiLevelType w:val="hybridMultilevel"/>
    <w:tmpl w:val="8F3EDD4E"/>
    <w:lvl w:ilvl="0" w:tplc="FF422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3BB0"/>
    <w:multiLevelType w:val="hybridMultilevel"/>
    <w:tmpl w:val="81C2583E"/>
    <w:lvl w:ilvl="0" w:tplc="0D6C67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3352AF1"/>
    <w:multiLevelType w:val="multilevel"/>
    <w:tmpl w:val="48A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D40AD"/>
    <w:multiLevelType w:val="hybridMultilevel"/>
    <w:tmpl w:val="EFF2C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631FA"/>
    <w:multiLevelType w:val="hybridMultilevel"/>
    <w:tmpl w:val="D68EB3A2"/>
    <w:lvl w:ilvl="0" w:tplc="EE562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8AF1295"/>
    <w:multiLevelType w:val="hybridMultilevel"/>
    <w:tmpl w:val="0CF8FBF8"/>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79B149B5"/>
    <w:multiLevelType w:val="hybridMultilevel"/>
    <w:tmpl w:val="C32C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87E24"/>
    <w:multiLevelType w:val="hybridMultilevel"/>
    <w:tmpl w:val="84C4FC1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3"/>
  </w:num>
  <w:num w:numId="6">
    <w:abstractNumId w:val="7"/>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A6"/>
    <w:rsid w:val="000019B6"/>
    <w:rsid w:val="00002E4A"/>
    <w:rsid w:val="000042B4"/>
    <w:rsid w:val="00006F20"/>
    <w:rsid w:val="0001318A"/>
    <w:rsid w:val="00013621"/>
    <w:rsid w:val="0001442E"/>
    <w:rsid w:val="000155D5"/>
    <w:rsid w:val="00015E71"/>
    <w:rsid w:val="00016127"/>
    <w:rsid w:val="00017D04"/>
    <w:rsid w:val="00024F37"/>
    <w:rsid w:val="00025015"/>
    <w:rsid w:val="000260DD"/>
    <w:rsid w:val="00026B13"/>
    <w:rsid w:val="00027469"/>
    <w:rsid w:val="0003205B"/>
    <w:rsid w:val="000327C6"/>
    <w:rsid w:val="00040B7B"/>
    <w:rsid w:val="00043471"/>
    <w:rsid w:val="00043911"/>
    <w:rsid w:val="00044209"/>
    <w:rsid w:val="0004452D"/>
    <w:rsid w:val="00054869"/>
    <w:rsid w:val="00054DF8"/>
    <w:rsid w:val="000563C0"/>
    <w:rsid w:val="00057629"/>
    <w:rsid w:val="00060E2F"/>
    <w:rsid w:val="00061E6F"/>
    <w:rsid w:val="00064A6B"/>
    <w:rsid w:val="00065ABC"/>
    <w:rsid w:val="00073195"/>
    <w:rsid w:val="000733D3"/>
    <w:rsid w:val="0007609F"/>
    <w:rsid w:val="00076C55"/>
    <w:rsid w:val="00076FDC"/>
    <w:rsid w:val="00081475"/>
    <w:rsid w:val="00083DB6"/>
    <w:rsid w:val="00083EAF"/>
    <w:rsid w:val="00085904"/>
    <w:rsid w:val="00086114"/>
    <w:rsid w:val="00087383"/>
    <w:rsid w:val="00090676"/>
    <w:rsid w:val="0009222E"/>
    <w:rsid w:val="0009320D"/>
    <w:rsid w:val="00094481"/>
    <w:rsid w:val="000949D2"/>
    <w:rsid w:val="00095300"/>
    <w:rsid w:val="0009621B"/>
    <w:rsid w:val="000A06E8"/>
    <w:rsid w:val="000A6298"/>
    <w:rsid w:val="000A71F1"/>
    <w:rsid w:val="000B391A"/>
    <w:rsid w:val="000B55D8"/>
    <w:rsid w:val="000B665D"/>
    <w:rsid w:val="000B7506"/>
    <w:rsid w:val="000C3277"/>
    <w:rsid w:val="000C3AAD"/>
    <w:rsid w:val="000C4A4F"/>
    <w:rsid w:val="000C54A4"/>
    <w:rsid w:val="000C7EAF"/>
    <w:rsid w:val="000D0889"/>
    <w:rsid w:val="000D4132"/>
    <w:rsid w:val="000D4C09"/>
    <w:rsid w:val="000E0EA4"/>
    <w:rsid w:val="000E2C2D"/>
    <w:rsid w:val="000E3A58"/>
    <w:rsid w:val="000F26C2"/>
    <w:rsid w:val="000F40EF"/>
    <w:rsid w:val="000F6105"/>
    <w:rsid w:val="000F6D99"/>
    <w:rsid w:val="00100251"/>
    <w:rsid w:val="00101A9B"/>
    <w:rsid w:val="001023B0"/>
    <w:rsid w:val="0010482B"/>
    <w:rsid w:val="00105808"/>
    <w:rsid w:val="00107736"/>
    <w:rsid w:val="00107E28"/>
    <w:rsid w:val="001100A1"/>
    <w:rsid w:val="00112E9E"/>
    <w:rsid w:val="001147BA"/>
    <w:rsid w:val="0011501B"/>
    <w:rsid w:val="00115083"/>
    <w:rsid w:val="001218D1"/>
    <w:rsid w:val="00121CCC"/>
    <w:rsid w:val="00126BBF"/>
    <w:rsid w:val="00130ADF"/>
    <w:rsid w:val="00131281"/>
    <w:rsid w:val="001313D8"/>
    <w:rsid w:val="00131A43"/>
    <w:rsid w:val="00133A3B"/>
    <w:rsid w:val="0013619D"/>
    <w:rsid w:val="0013676D"/>
    <w:rsid w:val="001459BC"/>
    <w:rsid w:val="001478A9"/>
    <w:rsid w:val="00152085"/>
    <w:rsid w:val="001528E8"/>
    <w:rsid w:val="00152AD4"/>
    <w:rsid w:val="00153B2A"/>
    <w:rsid w:val="0015446A"/>
    <w:rsid w:val="001544DC"/>
    <w:rsid w:val="0015762E"/>
    <w:rsid w:val="00161A61"/>
    <w:rsid w:val="00164FF3"/>
    <w:rsid w:val="00165A07"/>
    <w:rsid w:val="00165D35"/>
    <w:rsid w:val="0016785A"/>
    <w:rsid w:val="00167EF9"/>
    <w:rsid w:val="00172493"/>
    <w:rsid w:val="00173986"/>
    <w:rsid w:val="0017630C"/>
    <w:rsid w:val="001776C1"/>
    <w:rsid w:val="00177CD3"/>
    <w:rsid w:val="00177EC3"/>
    <w:rsid w:val="00181323"/>
    <w:rsid w:val="0019189C"/>
    <w:rsid w:val="001919CC"/>
    <w:rsid w:val="001A1AA3"/>
    <w:rsid w:val="001A1AE5"/>
    <w:rsid w:val="001A1D31"/>
    <w:rsid w:val="001A2A6E"/>
    <w:rsid w:val="001A374F"/>
    <w:rsid w:val="001A4420"/>
    <w:rsid w:val="001A78A0"/>
    <w:rsid w:val="001A7C31"/>
    <w:rsid w:val="001B152B"/>
    <w:rsid w:val="001B1912"/>
    <w:rsid w:val="001B23D0"/>
    <w:rsid w:val="001B2B36"/>
    <w:rsid w:val="001B3B27"/>
    <w:rsid w:val="001B6DD8"/>
    <w:rsid w:val="001B7961"/>
    <w:rsid w:val="001C33B5"/>
    <w:rsid w:val="001C7510"/>
    <w:rsid w:val="001C7F48"/>
    <w:rsid w:val="001D0467"/>
    <w:rsid w:val="001D27EE"/>
    <w:rsid w:val="001D7448"/>
    <w:rsid w:val="001E058E"/>
    <w:rsid w:val="001E0BD4"/>
    <w:rsid w:val="001E0D0D"/>
    <w:rsid w:val="001E11B1"/>
    <w:rsid w:val="001E2092"/>
    <w:rsid w:val="001E2308"/>
    <w:rsid w:val="001E69E4"/>
    <w:rsid w:val="001E6A4B"/>
    <w:rsid w:val="001E708B"/>
    <w:rsid w:val="001E7255"/>
    <w:rsid w:val="001F14A2"/>
    <w:rsid w:val="001F700D"/>
    <w:rsid w:val="001F733F"/>
    <w:rsid w:val="001F7F03"/>
    <w:rsid w:val="002116FE"/>
    <w:rsid w:val="00213877"/>
    <w:rsid w:val="00213BDB"/>
    <w:rsid w:val="002153E2"/>
    <w:rsid w:val="00220CC3"/>
    <w:rsid w:val="00221987"/>
    <w:rsid w:val="00225653"/>
    <w:rsid w:val="00231F26"/>
    <w:rsid w:val="00232ED4"/>
    <w:rsid w:val="002337CA"/>
    <w:rsid w:val="00233D49"/>
    <w:rsid w:val="0023404B"/>
    <w:rsid w:val="00234AB0"/>
    <w:rsid w:val="00234BD3"/>
    <w:rsid w:val="002404DC"/>
    <w:rsid w:val="002404F7"/>
    <w:rsid w:val="00244CF8"/>
    <w:rsid w:val="00251605"/>
    <w:rsid w:val="0025682E"/>
    <w:rsid w:val="0026264B"/>
    <w:rsid w:val="00262CFA"/>
    <w:rsid w:val="00267571"/>
    <w:rsid w:val="00271D4C"/>
    <w:rsid w:val="0027308F"/>
    <w:rsid w:val="00275947"/>
    <w:rsid w:val="00275D3D"/>
    <w:rsid w:val="00276B03"/>
    <w:rsid w:val="0027750A"/>
    <w:rsid w:val="00280BAF"/>
    <w:rsid w:val="002832F2"/>
    <w:rsid w:val="00283DDB"/>
    <w:rsid w:val="00286173"/>
    <w:rsid w:val="002869DC"/>
    <w:rsid w:val="00286DEC"/>
    <w:rsid w:val="00294152"/>
    <w:rsid w:val="0029430E"/>
    <w:rsid w:val="002A409A"/>
    <w:rsid w:val="002A7775"/>
    <w:rsid w:val="002A7B24"/>
    <w:rsid w:val="002B2155"/>
    <w:rsid w:val="002B583C"/>
    <w:rsid w:val="002B689E"/>
    <w:rsid w:val="002B7888"/>
    <w:rsid w:val="002C15DA"/>
    <w:rsid w:val="002C1C7F"/>
    <w:rsid w:val="002C3361"/>
    <w:rsid w:val="002C37C4"/>
    <w:rsid w:val="002C4610"/>
    <w:rsid w:val="002C5396"/>
    <w:rsid w:val="002C6EEE"/>
    <w:rsid w:val="002D2048"/>
    <w:rsid w:val="002D519D"/>
    <w:rsid w:val="002D63DE"/>
    <w:rsid w:val="002E22BC"/>
    <w:rsid w:val="002E3AFC"/>
    <w:rsid w:val="002E5723"/>
    <w:rsid w:val="002E6018"/>
    <w:rsid w:val="002E6BA8"/>
    <w:rsid w:val="002E7E37"/>
    <w:rsid w:val="002F01BF"/>
    <w:rsid w:val="002F0CE9"/>
    <w:rsid w:val="002F1A5E"/>
    <w:rsid w:val="002F2645"/>
    <w:rsid w:val="002F36E2"/>
    <w:rsid w:val="00302ADB"/>
    <w:rsid w:val="00302D6F"/>
    <w:rsid w:val="00305061"/>
    <w:rsid w:val="0030581C"/>
    <w:rsid w:val="00306119"/>
    <w:rsid w:val="003079B4"/>
    <w:rsid w:val="00310F95"/>
    <w:rsid w:val="00312439"/>
    <w:rsid w:val="00312F4D"/>
    <w:rsid w:val="00312FF3"/>
    <w:rsid w:val="003138A1"/>
    <w:rsid w:val="00315CB8"/>
    <w:rsid w:val="003179ED"/>
    <w:rsid w:val="0032018F"/>
    <w:rsid w:val="00321354"/>
    <w:rsid w:val="00322480"/>
    <w:rsid w:val="00324785"/>
    <w:rsid w:val="00324938"/>
    <w:rsid w:val="003258B6"/>
    <w:rsid w:val="00327096"/>
    <w:rsid w:val="00332715"/>
    <w:rsid w:val="00332FEB"/>
    <w:rsid w:val="00333AB9"/>
    <w:rsid w:val="003348DA"/>
    <w:rsid w:val="00335C69"/>
    <w:rsid w:val="003456BD"/>
    <w:rsid w:val="00345C6D"/>
    <w:rsid w:val="0034765C"/>
    <w:rsid w:val="003543EA"/>
    <w:rsid w:val="003545B2"/>
    <w:rsid w:val="0035521E"/>
    <w:rsid w:val="00355C12"/>
    <w:rsid w:val="003569BD"/>
    <w:rsid w:val="003605E7"/>
    <w:rsid w:val="00365A86"/>
    <w:rsid w:val="003668CF"/>
    <w:rsid w:val="0037559F"/>
    <w:rsid w:val="00375B28"/>
    <w:rsid w:val="0037675E"/>
    <w:rsid w:val="00377E94"/>
    <w:rsid w:val="00381090"/>
    <w:rsid w:val="00385BC3"/>
    <w:rsid w:val="003864F6"/>
    <w:rsid w:val="00390E31"/>
    <w:rsid w:val="00391737"/>
    <w:rsid w:val="00393638"/>
    <w:rsid w:val="00396A04"/>
    <w:rsid w:val="00397570"/>
    <w:rsid w:val="003A6698"/>
    <w:rsid w:val="003A7570"/>
    <w:rsid w:val="003B02B3"/>
    <w:rsid w:val="003B3A2C"/>
    <w:rsid w:val="003B3F0B"/>
    <w:rsid w:val="003B424D"/>
    <w:rsid w:val="003B68CD"/>
    <w:rsid w:val="003C1670"/>
    <w:rsid w:val="003C19BF"/>
    <w:rsid w:val="003C4D24"/>
    <w:rsid w:val="003C6B82"/>
    <w:rsid w:val="003C6D3A"/>
    <w:rsid w:val="003D092D"/>
    <w:rsid w:val="003D4A34"/>
    <w:rsid w:val="003D6235"/>
    <w:rsid w:val="003E080A"/>
    <w:rsid w:val="003E5FF2"/>
    <w:rsid w:val="003F046A"/>
    <w:rsid w:val="003F4EA4"/>
    <w:rsid w:val="003F5CF6"/>
    <w:rsid w:val="003F6ACA"/>
    <w:rsid w:val="003F7AF4"/>
    <w:rsid w:val="0040003B"/>
    <w:rsid w:val="004007BE"/>
    <w:rsid w:val="00405F21"/>
    <w:rsid w:val="0041039C"/>
    <w:rsid w:val="0042197D"/>
    <w:rsid w:val="004248D9"/>
    <w:rsid w:val="00425D30"/>
    <w:rsid w:val="00426482"/>
    <w:rsid w:val="004268A6"/>
    <w:rsid w:val="004346D1"/>
    <w:rsid w:val="00434D7D"/>
    <w:rsid w:val="004362A6"/>
    <w:rsid w:val="00440136"/>
    <w:rsid w:val="004444EE"/>
    <w:rsid w:val="004449A8"/>
    <w:rsid w:val="00445A50"/>
    <w:rsid w:val="00446C51"/>
    <w:rsid w:val="00454D72"/>
    <w:rsid w:val="00455719"/>
    <w:rsid w:val="00455919"/>
    <w:rsid w:val="004561E9"/>
    <w:rsid w:val="0045656F"/>
    <w:rsid w:val="00461DC3"/>
    <w:rsid w:val="00462C37"/>
    <w:rsid w:val="00463434"/>
    <w:rsid w:val="00464AED"/>
    <w:rsid w:val="0046568A"/>
    <w:rsid w:val="00473382"/>
    <w:rsid w:val="00473DA2"/>
    <w:rsid w:val="00475C30"/>
    <w:rsid w:val="0047738F"/>
    <w:rsid w:val="004806BE"/>
    <w:rsid w:val="004823AD"/>
    <w:rsid w:val="00486461"/>
    <w:rsid w:val="00492073"/>
    <w:rsid w:val="00492D8F"/>
    <w:rsid w:val="00493464"/>
    <w:rsid w:val="0049586B"/>
    <w:rsid w:val="00495918"/>
    <w:rsid w:val="00495B40"/>
    <w:rsid w:val="004A2289"/>
    <w:rsid w:val="004A26E1"/>
    <w:rsid w:val="004A39EE"/>
    <w:rsid w:val="004A51ED"/>
    <w:rsid w:val="004A6FCC"/>
    <w:rsid w:val="004B13DF"/>
    <w:rsid w:val="004B1759"/>
    <w:rsid w:val="004B1ABD"/>
    <w:rsid w:val="004B23FC"/>
    <w:rsid w:val="004B254E"/>
    <w:rsid w:val="004B64A6"/>
    <w:rsid w:val="004B7CAD"/>
    <w:rsid w:val="004C0503"/>
    <w:rsid w:val="004C07F9"/>
    <w:rsid w:val="004C103A"/>
    <w:rsid w:val="004C1092"/>
    <w:rsid w:val="004C5C13"/>
    <w:rsid w:val="004D0C08"/>
    <w:rsid w:val="004D210B"/>
    <w:rsid w:val="004D279E"/>
    <w:rsid w:val="004D27EE"/>
    <w:rsid w:val="004D5BA3"/>
    <w:rsid w:val="004D6ABC"/>
    <w:rsid w:val="004E0A15"/>
    <w:rsid w:val="004E13AF"/>
    <w:rsid w:val="004E40FD"/>
    <w:rsid w:val="004E789F"/>
    <w:rsid w:val="004F0E4B"/>
    <w:rsid w:val="004F551E"/>
    <w:rsid w:val="0050109F"/>
    <w:rsid w:val="00505AF3"/>
    <w:rsid w:val="00511FFC"/>
    <w:rsid w:val="00515920"/>
    <w:rsid w:val="00515AD8"/>
    <w:rsid w:val="00520345"/>
    <w:rsid w:val="00520BE3"/>
    <w:rsid w:val="00524BB2"/>
    <w:rsid w:val="00527866"/>
    <w:rsid w:val="00530AC8"/>
    <w:rsid w:val="0053145E"/>
    <w:rsid w:val="0053190B"/>
    <w:rsid w:val="005338D3"/>
    <w:rsid w:val="00533DD2"/>
    <w:rsid w:val="00533E19"/>
    <w:rsid w:val="0053559E"/>
    <w:rsid w:val="00540381"/>
    <w:rsid w:val="005409FA"/>
    <w:rsid w:val="00542411"/>
    <w:rsid w:val="00543A0A"/>
    <w:rsid w:val="005444AB"/>
    <w:rsid w:val="005514F5"/>
    <w:rsid w:val="00554716"/>
    <w:rsid w:val="00562652"/>
    <w:rsid w:val="0056358F"/>
    <w:rsid w:val="005649C0"/>
    <w:rsid w:val="00565752"/>
    <w:rsid w:val="00566969"/>
    <w:rsid w:val="00566EBF"/>
    <w:rsid w:val="00571569"/>
    <w:rsid w:val="00575BCE"/>
    <w:rsid w:val="0057730A"/>
    <w:rsid w:val="00577623"/>
    <w:rsid w:val="00584BC8"/>
    <w:rsid w:val="00586890"/>
    <w:rsid w:val="00595C2D"/>
    <w:rsid w:val="0059789A"/>
    <w:rsid w:val="00597910"/>
    <w:rsid w:val="005A133E"/>
    <w:rsid w:val="005A1D6C"/>
    <w:rsid w:val="005A2F37"/>
    <w:rsid w:val="005A2FF2"/>
    <w:rsid w:val="005A47ED"/>
    <w:rsid w:val="005A5A3E"/>
    <w:rsid w:val="005A5D29"/>
    <w:rsid w:val="005B02AB"/>
    <w:rsid w:val="005B17BE"/>
    <w:rsid w:val="005B31F7"/>
    <w:rsid w:val="005B3992"/>
    <w:rsid w:val="005B58FF"/>
    <w:rsid w:val="005B68C3"/>
    <w:rsid w:val="005B716F"/>
    <w:rsid w:val="005C2F53"/>
    <w:rsid w:val="005C5DD4"/>
    <w:rsid w:val="005D05C7"/>
    <w:rsid w:val="005D33F6"/>
    <w:rsid w:val="005D4320"/>
    <w:rsid w:val="005D4F6E"/>
    <w:rsid w:val="005D528B"/>
    <w:rsid w:val="005D66B3"/>
    <w:rsid w:val="005D69CA"/>
    <w:rsid w:val="005D6B6E"/>
    <w:rsid w:val="005D72A1"/>
    <w:rsid w:val="005E24DC"/>
    <w:rsid w:val="005E28B9"/>
    <w:rsid w:val="005E318B"/>
    <w:rsid w:val="005E494D"/>
    <w:rsid w:val="005E662E"/>
    <w:rsid w:val="005E6BD7"/>
    <w:rsid w:val="005E71B7"/>
    <w:rsid w:val="005F0EF5"/>
    <w:rsid w:val="005F27A0"/>
    <w:rsid w:val="005F3C57"/>
    <w:rsid w:val="005F3CF4"/>
    <w:rsid w:val="00601913"/>
    <w:rsid w:val="0060421A"/>
    <w:rsid w:val="00607CBB"/>
    <w:rsid w:val="00611644"/>
    <w:rsid w:val="00615FE9"/>
    <w:rsid w:val="00624E3D"/>
    <w:rsid w:val="006259CC"/>
    <w:rsid w:val="006308CD"/>
    <w:rsid w:val="00634816"/>
    <w:rsid w:val="00634CC1"/>
    <w:rsid w:val="00635197"/>
    <w:rsid w:val="006363AA"/>
    <w:rsid w:val="0063758C"/>
    <w:rsid w:val="00637985"/>
    <w:rsid w:val="00637F4E"/>
    <w:rsid w:val="00642FD5"/>
    <w:rsid w:val="00643DFD"/>
    <w:rsid w:val="0064474A"/>
    <w:rsid w:val="006449AD"/>
    <w:rsid w:val="00644DAA"/>
    <w:rsid w:val="00646267"/>
    <w:rsid w:val="006467F1"/>
    <w:rsid w:val="00647401"/>
    <w:rsid w:val="00650169"/>
    <w:rsid w:val="00652918"/>
    <w:rsid w:val="00652E1B"/>
    <w:rsid w:val="00652E45"/>
    <w:rsid w:val="00653F32"/>
    <w:rsid w:val="006565D1"/>
    <w:rsid w:val="00656BD4"/>
    <w:rsid w:val="00657250"/>
    <w:rsid w:val="006600DC"/>
    <w:rsid w:val="00660605"/>
    <w:rsid w:val="006622B7"/>
    <w:rsid w:val="00662E0D"/>
    <w:rsid w:val="0066383C"/>
    <w:rsid w:val="0066428B"/>
    <w:rsid w:val="00670C79"/>
    <w:rsid w:val="00670DA7"/>
    <w:rsid w:val="00671536"/>
    <w:rsid w:val="0067280E"/>
    <w:rsid w:val="0067373F"/>
    <w:rsid w:val="006737CE"/>
    <w:rsid w:val="00674168"/>
    <w:rsid w:val="00674E7A"/>
    <w:rsid w:val="00677B92"/>
    <w:rsid w:val="00680184"/>
    <w:rsid w:val="00680196"/>
    <w:rsid w:val="006803EA"/>
    <w:rsid w:val="006813E4"/>
    <w:rsid w:val="00683D39"/>
    <w:rsid w:val="00696435"/>
    <w:rsid w:val="006964C3"/>
    <w:rsid w:val="006A53C9"/>
    <w:rsid w:val="006A55E8"/>
    <w:rsid w:val="006B0230"/>
    <w:rsid w:val="006B075E"/>
    <w:rsid w:val="006B0F3D"/>
    <w:rsid w:val="006B1240"/>
    <w:rsid w:val="006C1EBB"/>
    <w:rsid w:val="006C3986"/>
    <w:rsid w:val="006C4F78"/>
    <w:rsid w:val="006C6272"/>
    <w:rsid w:val="006C63AE"/>
    <w:rsid w:val="006C63C2"/>
    <w:rsid w:val="006C711B"/>
    <w:rsid w:val="006C7FDB"/>
    <w:rsid w:val="006D0643"/>
    <w:rsid w:val="006D07D6"/>
    <w:rsid w:val="006D37D0"/>
    <w:rsid w:val="006E1DDD"/>
    <w:rsid w:val="006E48E4"/>
    <w:rsid w:val="006E4FBF"/>
    <w:rsid w:val="006E6287"/>
    <w:rsid w:val="006E718D"/>
    <w:rsid w:val="006E7C08"/>
    <w:rsid w:val="006F2CDF"/>
    <w:rsid w:val="006F2F9D"/>
    <w:rsid w:val="006F350D"/>
    <w:rsid w:val="006F43AF"/>
    <w:rsid w:val="006F66B1"/>
    <w:rsid w:val="006F72EC"/>
    <w:rsid w:val="006F7D98"/>
    <w:rsid w:val="00705F15"/>
    <w:rsid w:val="00707949"/>
    <w:rsid w:val="007118D7"/>
    <w:rsid w:val="00713515"/>
    <w:rsid w:val="00720217"/>
    <w:rsid w:val="00721E13"/>
    <w:rsid w:val="00723AC4"/>
    <w:rsid w:val="00723BA7"/>
    <w:rsid w:val="00723E83"/>
    <w:rsid w:val="00724EF9"/>
    <w:rsid w:val="00725A79"/>
    <w:rsid w:val="007263F0"/>
    <w:rsid w:val="00726D70"/>
    <w:rsid w:val="00727AF1"/>
    <w:rsid w:val="007314E7"/>
    <w:rsid w:val="00732D4C"/>
    <w:rsid w:val="00735154"/>
    <w:rsid w:val="007359E9"/>
    <w:rsid w:val="00736318"/>
    <w:rsid w:val="00741AA7"/>
    <w:rsid w:val="007450A1"/>
    <w:rsid w:val="007478F2"/>
    <w:rsid w:val="00752FA8"/>
    <w:rsid w:val="0075464B"/>
    <w:rsid w:val="00757DD1"/>
    <w:rsid w:val="00757F29"/>
    <w:rsid w:val="007600AE"/>
    <w:rsid w:val="00760C9F"/>
    <w:rsid w:val="00762A5C"/>
    <w:rsid w:val="00763CC1"/>
    <w:rsid w:val="00764804"/>
    <w:rsid w:val="007678A9"/>
    <w:rsid w:val="00774611"/>
    <w:rsid w:val="00775875"/>
    <w:rsid w:val="00776D37"/>
    <w:rsid w:val="00784848"/>
    <w:rsid w:val="00784A78"/>
    <w:rsid w:val="00786699"/>
    <w:rsid w:val="00786C9D"/>
    <w:rsid w:val="007872E4"/>
    <w:rsid w:val="00787457"/>
    <w:rsid w:val="00793B14"/>
    <w:rsid w:val="007949E0"/>
    <w:rsid w:val="00795327"/>
    <w:rsid w:val="00797A35"/>
    <w:rsid w:val="007A03B4"/>
    <w:rsid w:val="007A092D"/>
    <w:rsid w:val="007A20E4"/>
    <w:rsid w:val="007A4087"/>
    <w:rsid w:val="007A506B"/>
    <w:rsid w:val="007A5914"/>
    <w:rsid w:val="007B37F8"/>
    <w:rsid w:val="007B5C1D"/>
    <w:rsid w:val="007B66A7"/>
    <w:rsid w:val="007C16BF"/>
    <w:rsid w:val="007C3CB1"/>
    <w:rsid w:val="007D19E5"/>
    <w:rsid w:val="007D383B"/>
    <w:rsid w:val="007D59C7"/>
    <w:rsid w:val="007D5B0F"/>
    <w:rsid w:val="007D6BE6"/>
    <w:rsid w:val="007E2B3E"/>
    <w:rsid w:val="007E2F46"/>
    <w:rsid w:val="007E315C"/>
    <w:rsid w:val="007E6D8E"/>
    <w:rsid w:val="007E7000"/>
    <w:rsid w:val="007F0854"/>
    <w:rsid w:val="007F14F5"/>
    <w:rsid w:val="007F313D"/>
    <w:rsid w:val="007F7226"/>
    <w:rsid w:val="0080159B"/>
    <w:rsid w:val="00802C83"/>
    <w:rsid w:val="008041B9"/>
    <w:rsid w:val="0080435E"/>
    <w:rsid w:val="00810336"/>
    <w:rsid w:val="00812F1A"/>
    <w:rsid w:val="008147DC"/>
    <w:rsid w:val="00820027"/>
    <w:rsid w:val="00821135"/>
    <w:rsid w:val="00821A2E"/>
    <w:rsid w:val="00821E21"/>
    <w:rsid w:val="00822951"/>
    <w:rsid w:val="00823B75"/>
    <w:rsid w:val="00823B92"/>
    <w:rsid w:val="00824F0E"/>
    <w:rsid w:val="008259E4"/>
    <w:rsid w:val="00826EED"/>
    <w:rsid w:val="00830CBA"/>
    <w:rsid w:val="00833990"/>
    <w:rsid w:val="00833F5C"/>
    <w:rsid w:val="00834D8E"/>
    <w:rsid w:val="00837CB2"/>
    <w:rsid w:val="00843606"/>
    <w:rsid w:val="008438F3"/>
    <w:rsid w:val="00843E24"/>
    <w:rsid w:val="0084634B"/>
    <w:rsid w:val="0084657A"/>
    <w:rsid w:val="00847EA6"/>
    <w:rsid w:val="00857F6E"/>
    <w:rsid w:val="00861374"/>
    <w:rsid w:val="008619CE"/>
    <w:rsid w:val="008705E3"/>
    <w:rsid w:val="0087248D"/>
    <w:rsid w:val="008731B1"/>
    <w:rsid w:val="00873608"/>
    <w:rsid w:val="00873E3D"/>
    <w:rsid w:val="008752C0"/>
    <w:rsid w:val="00881537"/>
    <w:rsid w:val="00883375"/>
    <w:rsid w:val="0089074E"/>
    <w:rsid w:val="00890D08"/>
    <w:rsid w:val="00894B05"/>
    <w:rsid w:val="008955BC"/>
    <w:rsid w:val="008965DD"/>
    <w:rsid w:val="008A1CD6"/>
    <w:rsid w:val="008A2707"/>
    <w:rsid w:val="008A2CEF"/>
    <w:rsid w:val="008A3EC9"/>
    <w:rsid w:val="008A44AD"/>
    <w:rsid w:val="008A45B5"/>
    <w:rsid w:val="008A4B30"/>
    <w:rsid w:val="008A5644"/>
    <w:rsid w:val="008B2814"/>
    <w:rsid w:val="008B2AA3"/>
    <w:rsid w:val="008B33C1"/>
    <w:rsid w:val="008B707D"/>
    <w:rsid w:val="008C1811"/>
    <w:rsid w:val="008C2535"/>
    <w:rsid w:val="008C471E"/>
    <w:rsid w:val="008C6322"/>
    <w:rsid w:val="008C7047"/>
    <w:rsid w:val="008D050C"/>
    <w:rsid w:val="008D498E"/>
    <w:rsid w:val="008E14AF"/>
    <w:rsid w:val="008E1534"/>
    <w:rsid w:val="008E3D03"/>
    <w:rsid w:val="008E43D1"/>
    <w:rsid w:val="008E56F8"/>
    <w:rsid w:val="008E5DAF"/>
    <w:rsid w:val="008E64CB"/>
    <w:rsid w:val="008E7314"/>
    <w:rsid w:val="008F29CC"/>
    <w:rsid w:val="008F32CD"/>
    <w:rsid w:val="008F35A0"/>
    <w:rsid w:val="008F41E3"/>
    <w:rsid w:val="008F4914"/>
    <w:rsid w:val="009009A6"/>
    <w:rsid w:val="00901A7B"/>
    <w:rsid w:val="00901C87"/>
    <w:rsid w:val="0090277D"/>
    <w:rsid w:val="009055CC"/>
    <w:rsid w:val="00905E05"/>
    <w:rsid w:val="009064F7"/>
    <w:rsid w:val="0090724C"/>
    <w:rsid w:val="009079AE"/>
    <w:rsid w:val="00907A27"/>
    <w:rsid w:val="00907A95"/>
    <w:rsid w:val="00907AEA"/>
    <w:rsid w:val="00910134"/>
    <w:rsid w:val="00911BC0"/>
    <w:rsid w:val="0091403A"/>
    <w:rsid w:val="00915DA8"/>
    <w:rsid w:val="00916B41"/>
    <w:rsid w:val="009176B0"/>
    <w:rsid w:val="00920345"/>
    <w:rsid w:val="0092117E"/>
    <w:rsid w:val="00922398"/>
    <w:rsid w:val="00923B3E"/>
    <w:rsid w:val="009240BF"/>
    <w:rsid w:val="009276B0"/>
    <w:rsid w:val="00931AF0"/>
    <w:rsid w:val="009359F1"/>
    <w:rsid w:val="00935C77"/>
    <w:rsid w:val="00937743"/>
    <w:rsid w:val="009377E2"/>
    <w:rsid w:val="009404CF"/>
    <w:rsid w:val="00947EA6"/>
    <w:rsid w:val="00951769"/>
    <w:rsid w:val="00953180"/>
    <w:rsid w:val="00954311"/>
    <w:rsid w:val="00956192"/>
    <w:rsid w:val="00965DE3"/>
    <w:rsid w:val="0096680B"/>
    <w:rsid w:val="00966D02"/>
    <w:rsid w:val="009678EA"/>
    <w:rsid w:val="00972192"/>
    <w:rsid w:val="0097231F"/>
    <w:rsid w:val="00973DEE"/>
    <w:rsid w:val="00975D7D"/>
    <w:rsid w:val="009817E8"/>
    <w:rsid w:val="00981C86"/>
    <w:rsid w:val="00982B95"/>
    <w:rsid w:val="00987A22"/>
    <w:rsid w:val="00990092"/>
    <w:rsid w:val="0099350E"/>
    <w:rsid w:val="00996E8E"/>
    <w:rsid w:val="009A47AE"/>
    <w:rsid w:val="009A6CC6"/>
    <w:rsid w:val="009B71DC"/>
    <w:rsid w:val="009C238D"/>
    <w:rsid w:val="009C25D9"/>
    <w:rsid w:val="009C2B24"/>
    <w:rsid w:val="009C44A4"/>
    <w:rsid w:val="009C5EAE"/>
    <w:rsid w:val="009C7327"/>
    <w:rsid w:val="009D1BA6"/>
    <w:rsid w:val="009D4DAF"/>
    <w:rsid w:val="009D5A94"/>
    <w:rsid w:val="009E1366"/>
    <w:rsid w:val="009E29C9"/>
    <w:rsid w:val="009E42EA"/>
    <w:rsid w:val="009E5884"/>
    <w:rsid w:val="009E6591"/>
    <w:rsid w:val="009F22AF"/>
    <w:rsid w:val="009F327C"/>
    <w:rsid w:val="009F4CAE"/>
    <w:rsid w:val="009F799C"/>
    <w:rsid w:val="00A00346"/>
    <w:rsid w:val="00A07A20"/>
    <w:rsid w:val="00A112E7"/>
    <w:rsid w:val="00A14D66"/>
    <w:rsid w:val="00A20532"/>
    <w:rsid w:val="00A20814"/>
    <w:rsid w:val="00A225D0"/>
    <w:rsid w:val="00A23CDE"/>
    <w:rsid w:val="00A24686"/>
    <w:rsid w:val="00A25593"/>
    <w:rsid w:val="00A27068"/>
    <w:rsid w:val="00A2708A"/>
    <w:rsid w:val="00A33926"/>
    <w:rsid w:val="00A34796"/>
    <w:rsid w:val="00A35590"/>
    <w:rsid w:val="00A4290C"/>
    <w:rsid w:val="00A42D45"/>
    <w:rsid w:val="00A44D23"/>
    <w:rsid w:val="00A54F6C"/>
    <w:rsid w:val="00A63839"/>
    <w:rsid w:val="00A6445C"/>
    <w:rsid w:val="00A6751F"/>
    <w:rsid w:val="00A73ACA"/>
    <w:rsid w:val="00A749BF"/>
    <w:rsid w:val="00A74CC6"/>
    <w:rsid w:val="00A76DC3"/>
    <w:rsid w:val="00A80470"/>
    <w:rsid w:val="00A80E81"/>
    <w:rsid w:val="00A81CED"/>
    <w:rsid w:val="00A822B2"/>
    <w:rsid w:val="00A82B71"/>
    <w:rsid w:val="00A83729"/>
    <w:rsid w:val="00A87739"/>
    <w:rsid w:val="00A90503"/>
    <w:rsid w:val="00A93216"/>
    <w:rsid w:val="00A93F34"/>
    <w:rsid w:val="00A96D1B"/>
    <w:rsid w:val="00A97519"/>
    <w:rsid w:val="00A979ED"/>
    <w:rsid w:val="00AA203D"/>
    <w:rsid w:val="00AA279E"/>
    <w:rsid w:val="00AA537E"/>
    <w:rsid w:val="00AA59A0"/>
    <w:rsid w:val="00AA6FD4"/>
    <w:rsid w:val="00AB2920"/>
    <w:rsid w:val="00AC1A4B"/>
    <w:rsid w:val="00AC3642"/>
    <w:rsid w:val="00AD159C"/>
    <w:rsid w:val="00AD4DD2"/>
    <w:rsid w:val="00AE1333"/>
    <w:rsid w:val="00AE7624"/>
    <w:rsid w:val="00AF060E"/>
    <w:rsid w:val="00AF2D42"/>
    <w:rsid w:val="00AF572D"/>
    <w:rsid w:val="00AF79CB"/>
    <w:rsid w:val="00AF7F1E"/>
    <w:rsid w:val="00B01639"/>
    <w:rsid w:val="00B07D81"/>
    <w:rsid w:val="00B174D2"/>
    <w:rsid w:val="00B17DEF"/>
    <w:rsid w:val="00B216CF"/>
    <w:rsid w:val="00B21946"/>
    <w:rsid w:val="00B262C8"/>
    <w:rsid w:val="00B3015E"/>
    <w:rsid w:val="00B30608"/>
    <w:rsid w:val="00B30D09"/>
    <w:rsid w:val="00B34382"/>
    <w:rsid w:val="00B34C51"/>
    <w:rsid w:val="00B3525C"/>
    <w:rsid w:val="00B41404"/>
    <w:rsid w:val="00B41EA1"/>
    <w:rsid w:val="00B505F9"/>
    <w:rsid w:val="00B510BF"/>
    <w:rsid w:val="00B523ED"/>
    <w:rsid w:val="00B531AB"/>
    <w:rsid w:val="00B62DFD"/>
    <w:rsid w:val="00B651E4"/>
    <w:rsid w:val="00B66A36"/>
    <w:rsid w:val="00B72438"/>
    <w:rsid w:val="00B76557"/>
    <w:rsid w:val="00B85DBD"/>
    <w:rsid w:val="00B87179"/>
    <w:rsid w:val="00B9048A"/>
    <w:rsid w:val="00B92D82"/>
    <w:rsid w:val="00B93B50"/>
    <w:rsid w:val="00BA0F40"/>
    <w:rsid w:val="00BA118B"/>
    <w:rsid w:val="00BA3D5F"/>
    <w:rsid w:val="00BA47F0"/>
    <w:rsid w:val="00BA4E0F"/>
    <w:rsid w:val="00BB1C7E"/>
    <w:rsid w:val="00BB2E04"/>
    <w:rsid w:val="00BB34E3"/>
    <w:rsid w:val="00BB5721"/>
    <w:rsid w:val="00BB69DB"/>
    <w:rsid w:val="00BB6F82"/>
    <w:rsid w:val="00BC2ED4"/>
    <w:rsid w:val="00BC65DC"/>
    <w:rsid w:val="00BC6C3A"/>
    <w:rsid w:val="00BC7018"/>
    <w:rsid w:val="00BD0693"/>
    <w:rsid w:val="00BD0CCE"/>
    <w:rsid w:val="00BD0F30"/>
    <w:rsid w:val="00BD1014"/>
    <w:rsid w:val="00BD4914"/>
    <w:rsid w:val="00BD55B7"/>
    <w:rsid w:val="00BD7AF5"/>
    <w:rsid w:val="00BD7F12"/>
    <w:rsid w:val="00BE0572"/>
    <w:rsid w:val="00BE0F0E"/>
    <w:rsid w:val="00BE202F"/>
    <w:rsid w:val="00BE20C3"/>
    <w:rsid w:val="00BE2331"/>
    <w:rsid w:val="00BE27A2"/>
    <w:rsid w:val="00BE470D"/>
    <w:rsid w:val="00BE4A53"/>
    <w:rsid w:val="00BE7875"/>
    <w:rsid w:val="00BF0642"/>
    <w:rsid w:val="00BF21B1"/>
    <w:rsid w:val="00BF27D1"/>
    <w:rsid w:val="00BF29AC"/>
    <w:rsid w:val="00BF6022"/>
    <w:rsid w:val="00C000FD"/>
    <w:rsid w:val="00C005BC"/>
    <w:rsid w:val="00C01DF1"/>
    <w:rsid w:val="00C04D83"/>
    <w:rsid w:val="00C1070D"/>
    <w:rsid w:val="00C10B3B"/>
    <w:rsid w:val="00C11ECE"/>
    <w:rsid w:val="00C129DE"/>
    <w:rsid w:val="00C16B79"/>
    <w:rsid w:val="00C224C0"/>
    <w:rsid w:val="00C249F4"/>
    <w:rsid w:val="00C31BB5"/>
    <w:rsid w:val="00C34562"/>
    <w:rsid w:val="00C51826"/>
    <w:rsid w:val="00C52A04"/>
    <w:rsid w:val="00C5468F"/>
    <w:rsid w:val="00C55F9D"/>
    <w:rsid w:val="00C579D5"/>
    <w:rsid w:val="00C57FF1"/>
    <w:rsid w:val="00C60145"/>
    <w:rsid w:val="00C62223"/>
    <w:rsid w:val="00C76128"/>
    <w:rsid w:val="00C80BC8"/>
    <w:rsid w:val="00C8303E"/>
    <w:rsid w:val="00C83C7F"/>
    <w:rsid w:val="00C84EC9"/>
    <w:rsid w:val="00C84F4B"/>
    <w:rsid w:val="00C85731"/>
    <w:rsid w:val="00C8685C"/>
    <w:rsid w:val="00C87826"/>
    <w:rsid w:val="00C900B9"/>
    <w:rsid w:val="00C9066A"/>
    <w:rsid w:val="00C90AE0"/>
    <w:rsid w:val="00C9400D"/>
    <w:rsid w:val="00C96C6D"/>
    <w:rsid w:val="00CA0FE5"/>
    <w:rsid w:val="00CA1B3B"/>
    <w:rsid w:val="00CA560E"/>
    <w:rsid w:val="00CA723F"/>
    <w:rsid w:val="00CB09CE"/>
    <w:rsid w:val="00CB6C17"/>
    <w:rsid w:val="00CB6C3B"/>
    <w:rsid w:val="00CB7304"/>
    <w:rsid w:val="00CB78C4"/>
    <w:rsid w:val="00CC1CB4"/>
    <w:rsid w:val="00CD2EA0"/>
    <w:rsid w:val="00CD330F"/>
    <w:rsid w:val="00CD4123"/>
    <w:rsid w:val="00CD681E"/>
    <w:rsid w:val="00CE2716"/>
    <w:rsid w:val="00CE2DFA"/>
    <w:rsid w:val="00CE461E"/>
    <w:rsid w:val="00CE50CC"/>
    <w:rsid w:val="00CE699E"/>
    <w:rsid w:val="00CE7B3A"/>
    <w:rsid w:val="00CF00D7"/>
    <w:rsid w:val="00CF01F6"/>
    <w:rsid w:val="00CF5CDF"/>
    <w:rsid w:val="00CF6C12"/>
    <w:rsid w:val="00CF77BF"/>
    <w:rsid w:val="00CF7D07"/>
    <w:rsid w:val="00D00E94"/>
    <w:rsid w:val="00D03109"/>
    <w:rsid w:val="00D03A53"/>
    <w:rsid w:val="00D04219"/>
    <w:rsid w:val="00D042B9"/>
    <w:rsid w:val="00D075C8"/>
    <w:rsid w:val="00D100AF"/>
    <w:rsid w:val="00D14823"/>
    <w:rsid w:val="00D17BFC"/>
    <w:rsid w:val="00D24521"/>
    <w:rsid w:val="00D24E65"/>
    <w:rsid w:val="00D250E4"/>
    <w:rsid w:val="00D27C6F"/>
    <w:rsid w:val="00D30B66"/>
    <w:rsid w:val="00D31842"/>
    <w:rsid w:val="00D31C14"/>
    <w:rsid w:val="00D35098"/>
    <w:rsid w:val="00D41A0E"/>
    <w:rsid w:val="00D43767"/>
    <w:rsid w:val="00D4461C"/>
    <w:rsid w:val="00D478F6"/>
    <w:rsid w:val="00D501A1"/>
    <w:rsid w:val="00D52020"/>
    <w:rsid w:val="00D52251"/>
    <w:rsid w:val="00D556CE"/>
    <w:rsid w:val="00D60512"/>
    <w:rsid w:val="00D60B36"/>
    <w:rsid w:val="00D61D54"/>
    <w:rsid w:val="00D63CCB"/>
    <w:rsid w:val="00D65E59"/>
    <w:rsid w:val="00D7055A"/>
    <w:rsid w:val="00D70A75"/>
    <w:rsid w:val="00D73D1F"/>
    <w:rsid w:val="00D7465B"/>
    <w:rsid w:val="00D76EDE"/>
    <w:rsid w:val="00D8203D"/>
    <w:rsid w:val="00D8775A"/>
    <w:rsid w:val="00D903E2"/>
    <w:rsid w:val="00D9055C"/>
    <w:rsid w:val="00D90C50"/>
    <w:rsid w:val="00D92F9F"/>
    <w:rsid w:val="00D93260"/>
    <w:rsid w:val="00D934F0"/>
    <w:rsid w:val="00D94754"/>
    <w:rsid w:val="00D94C5D"/>
    <w:rsid w:val="00D94E72"/>
    <w:rsid w:val="00DA3DF4"/>
    <w:rsid w:val="00DA48DA"/>
    <w:rsid w:val="00DA6976"/>
    <w:rsid w:val="00DA7BC7"/>
    <w:rsid w:val="00DA7ECA"/>
    <w:rsid w:val="00DB0169"/>
    <w:rsid w:val="00DB02E7"/>
    <w:rsid w:val="00DB0AC3"/>
    <w:rsid w:val="00DB19FF"/>
    <w:rsid w:val="00DB1F3F"/>
    <w:rsid w:val="00DB2168"/>
    <w:rsid w:val="00DB41EA"/>
    <w:rsid w:val="00DB456B"/>
    <w:rsid w:val="00DB67FA"/>
    <w:rsid w:val="00DB6D2A"/>
    <w:rsid w:val="00DB6E4E"/>
    <w:rsid w:val="00DB715E"/>
    <w:rsid w:val="00DB71DB"/>
    <w:rsid w:val="00DC2152"/>
    <w:rsid w:val="00DC6060"/>
    <w:rsid w:val="00DC611C"/>
    <w:rsid w:val="00DC663A"/>
    <w:rsid w:val="00DC7E22"/>
    <w:rsid w:val="00DD0632"/>
    <w:rsid w:val="00DD2A09"/>
    <w:rsid w:val="00DD31EE"/>
    <w:rsid w:val="00DD3713"/>
    <w:rsid w:val="00DD3B2B"/>
    <w:rsid w:val="00DE0225"/>
    <w:rsid w:val="00DE7345"/>
    <w:rsid w:val="00DF043F"/>
    <w:rsid w:val="00DF3D29"/>
    <w:rsid w:val="00DF6EFD"/>
    <w:rsid w:val="00DF742C"/>
    <w:rsid w:val="00E000E2"/>
    <w:rsid w:val="00E004DB"/>
    <w:rsid w:val="00E005C1"/>
    <w:rsid w:val="00E020B4"/>
    <w:rsid w:val="00E07299"/>
    <w:rsid w:val="00E10987"/>
    <w:rsid w:val="00E12162"/>
    <w:rsid w:val="00E1237D"/>
    <w:rsid w:val="00E15FE2"/>
    <w:rsid w:val="00E17A0A"/>
    <w:rsid w:val="00E20973"/>
    <w:rsid w:val="00E20EAD"/>
    <w:rsid w:val="00E2114F"/>
    <w:rsid w:val="00E21D75"/>
    <w:rsid w:val="00E231B5"/>
    <w:rsid w:val="00E27D5F"/>
    <w:rsid w:val="00E31FC6"/>
    <w:rsid w:val="00E41838"/>
    <w:rsid w:val="00E44A2E"/>
    <w:rsid w:val="00E51892"/>
    <w:rsid w:val="00E51C99"/>
    <w:rsid w:val="00E52E82"/>
    <w:rsid w:val="00E541DB"/>
    <w:rsid w:val="00E54F18"/>
    <w:rsid w:val="00E61936"/>
    <w:rsid w:val="00E62BA0"/>
    <w:rsid w:val="00E64002"/>
    <w:rsid w:val="00E65069"/>
    <w:rsid w:val="00E661DA"/>
    <w:rsid w:val="00E666A2"/>
    <w:rsid w:val="00E676F8"/>
    <w:rsid w:val="00E6795C"/>
    <w:rsid w:val="00E72D9D"/>
    <w:rsid w:val="00E75798"/>
    <w:rsid w:val="00E760AA"/>
    <w:rsid w:val="00E76E80"/>
    <w:rsid w:val="00E806D4"/>
    <w:rsid w:val="00E827E8"/>
    <w:rsid w:val="00E858B7"/>
    <w:rsid w:val="00E85FC6"/>
    <w:rsid w:val="00E93C09"/>
    <w:rsid w:val="00E963FB"/>
    <w:rsid w:val="00E975A8"/>
    <w:rsid w:val="00EA29A3"/>
    <w:rsid w:val="00EA543D"/>
    <w:rsid w:val="00EB025B"/>
    <w:rsid w:val="00EB198B"/>
    <w:rsid w:val="00EB2240"/>
    <w:rsid w:val="00EB2A94"/>
    <w:rsid w:val="00EC4E93"/>
    <w:rsid w:val="00EC6E0D"/>
    <w:rsid w:val="00ED0802"/>
    <w:rsid w:val="00ED416D"/>
    <w:rsid w:val="00ED4506"/>
    <w:rsid w:val="00ED5D29"/>
    <w:rsid w:val="00ED6F01"/>
    <w:rsid w:val="00EE0182"/>
    <w:rsid w:val="00EE1F28"/>
    <w:rsid w:val="00EE46DE"/>
    <w:rsid w:val="00EE7541"/>
    <w:rsid w:val="00EE79AE"/>
    <w:rsid w:val="00EF067B"/>
    <w:rsid w:val="00EF0CD0"/>
    <w:rsid w:val="00EF2A2C"/>
    <w:rsid w:val="00EF30E5"/>
    <w:rsid w:val="00EF4272"/>
    <w:rsid w:val="00EF5746"/>
    <w:rsid w:val="00EF587D"/>
    <w:rsid w:val="00EF7A51"/>
    <w:rsid w:val="00F0098C"/>
    <w:rsid w:val="00F03628"/>
    <w:rsid w:val="00F06D25"/>
    <w:rsid w:val="00F1512E"/>
    <w:rsid w:val="00F206EA"/>
    <w:rsid w:val="00F232DE"/>
    <w:rsid w:val="00F24977"/>
    <w:rsid w:val="00F24B2C"/>
    <w:rsid w:val="00F255F5"/>
    <w:rsid w:val="00F26279"/>
    <w:rsid w:val="00F2705F"/>
    <w:rsid w:val="00F27C6C"/>
    <w:rsid w:val="00F33BDF"/>
    <w:rsid w:val="00F3755A"/>
    <w:rsid w:val="00F37A62"/>
    <w:rsid w:val="00F45A78"/>
    <w:rsid w:val="00F468B8"/>
    <w:rsid w:val="00F52D4D"/>
    <w:rsid w:val="00F52E60"/>
    <w:rsid w:val="00F5520E"/>
    <w:rsid w:val="00F618F1"/>
    <w:rsid w:val="00F62A1B"/>
    <w:rsid w:val="00F650D3"/>
    <w:rsid w:val="00F6643C"/>
    <w:rsid w:val="00F73D39"/>
    <w:rsid w:val="00F7454F"/>
    <w:rsid w:val="00F7637B"/>
    <w:rsid w:val="00F76BCF"/>
    <w:rsid w:val="00F8335E"/>
    <w:rsid w:val="00F86559"/>
    <w:rsid w:val="00F87C10"/>
    <w:rsid w:val="00F92280"/>
    <w:rsid w:val="00F943CE"/>
    <w:rsid w:val="00F9478D"/>
    <w:rsid w:val="00FA062B"/>
    <w:rsid w:val="00FA0D5C"/>
    <w:rsid w:val="00FA1077"/>
    <w:rsid w:val="00FA21AA"/>
    <w:rsid w:val="00FA47DC"/>
    <w:rsid w:val="00FA6179"/>
    <w:rsid w:val="00FA66DE"/>
    <w:rsid w:val="00FB071A"/>
    <w:rsid w:val="00FB1A16"/>
    <w:rsid w:val="00FB1A1C"/>
    <w:rsid w:val="00FB2692"/>
    <w:rsid w:val="00FB5FAE"/>
    <w:rsid w:val="00FB676B"/>
    <w:rsid w:val="00FB743A"/>
    <w:rsid w:val="00FB75B2"/>
    <w:rsid w:val="00FB7B94"/>
    <w:rsid w:val="00FC5120"/>
    <w:rsid w:val="00FD0D95"/>
    <w:rsid w:val="00FD5713"/>
    <w:rsid w:val="00FD6CF0"/>
    <w:rsid w:val="00FD7CF9"/>
    <w:rsid w:val="00FE0185"/>
    <w:rsid w:val="00FE39A9"/>
    <w:rsid w:val="00FF1D41"/>
    <w:rsid w:val="00FF2CC0"/>
    <w:rsid w:val="00FF4EC4"/>
    <w:rsid w:val="00FF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6567"/>
  <w15:docId w15:val="{AC0EE488-C7C7-45BD-85BB-C73785D7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79"/>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70C79"/>
    <w:pPr>
      <w:keepNext/>
      <w:spacing w:line="360" w:lineRule="auto"/>
      <w:outlineLvl w:val="0"/>
    </w:pPr>
    <w:rPr>
      <w:sz w:val="28"/>
    </w:rPr>
  </w:style>
  <w:style w:type="paragraph" w:styleId="Heading2">
    <w:name w:val="heading 2"/>
    <w:basedOn w:val="Normal"/>
    <w:next w:val="Normal"/>
    <w:link w:val="Heading2Char"/>
    <w:qFormat/>
    <w:rsid w:val="00670C79"/>
    <w:pPr>
      <w:keepNext/>
      <w:jc w:val="both"/>
      <w:outlineLvl w:val="1"/>
    </w:pPr>
    <w:rPr>
      <w:sz w:val="28"/>
    </w:rPr>
  </w:style>
  <w:style w:type="paragraph" w:styleId="Heading3">
    <w:name w:val="heading 3"/>
    <w:basedOn w:val="Normal"/>
    <w:next w:val="Normal"/>
    <w:link w:val="Heading3Char"/>
    <w:uiPriority w:val="9"/>
    <w:unhideWhenUsed/>
    <w:qFormat/>
    <w:rsid w:val="00C01DF1"/>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670C79"/>
    <w:pPr>
      <w:keepNext/>
      <w:spacing w:before="120" w:after="120"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C79"/>
    <w:rPr>
      <w:rFonts w:ascii="Times New Roman" w:eastAsia="Times New Roman" w:hAnsi="Times New Roman" w:cs="Times New Roman"/>
      <w:sz w:val="28"/>
      <w:szCs w:val="24"/>
      <w:lang w:val="ro-RO"/>
    </w:rPr>
  </w:style>
  <w:style w:type="character" w:customStyle="1" w:styleId="Heading2Char">
    <w:name w:val="Heading 2 Char"/>
    <w:basedOn w:val="DefaultParagraphFont"/>
    <w:link w:val="Heading2"/>
    <w:rsid w:val="00670C79"/>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sid w:val="00670C79"/>
    <w:rPr>
      <w:rFonts w:ascii="Times New Roman" w:eastAsia="Times New Roman" w:hAnsi="Times New Roman" w:cs="Times New Roman"/>
      <w:b/>
      <w:sz w:val="28"/>
      <w:szCs w:val="24"/>
      <w:lang w:val="ro-RO"/>
    </w:rPr>
  </w:style>
  <w:style w:type="paragraph" w:styleId="BodyTextIndent2">
    <w:name w:val="Body Text Indent 2"/>
    <w:basedOn w:val="Normal"/>
    <w:link w:val="BodyTextIndent2Char"/>
    <w:semiHidden/>
    <w:rsid w:val="00670C79"/>
    <w:pPr>
      <w:spacing w:before="120" w:after="120" w:line="360" w:lineRule="auto"/>
      <w:ind w:firstLine="357"/>
    </w:pPr>
    <w:rPr>
      <w:b/>
      <w:bCs/>
      <w:sz w:val="28"/>
    </w:rPr>
  </w:style>
  <w:style w:type="character" w:customStyle="1" w:styleId="BodyTextIndent2Char">
    <w:name w:val="Body Text Indent 2 Char"/>
    <w:basedOn w:val="DefaultParagraphFont"/>
    <w:link w:val="BodyTextIndent2"/>
    <w:semiHidden/>
    <w:rsid w:val="00670C79"/>
    <w:rPr>
      <w:rFonts w:ascii="Times New Roman" w:eastAsia="Times New Roman" w:hAnsi="Times New Roman" w:cs="Times New Roman"/>
      <w:b/>
      <w:bCs/>
      <w:sz w:val="28"/>
      <w:szCs w:val="24"/>
      <w:lang w:val="ro-RO"/>
    </w:rPr>
  </w:style>
  <w:style w:type="paragraph" w:styleId="BodyText2">
    <w:name w:val="Body Text 2"/>
    <w:basedOn w:val="Normal"/>
    <w:link w:val="BodyText2Char"/>
    <w:semiHidden/>
    <w:rsid w:val="00670C79"/>
    <w:pPr>
      <w:jc w:val="both"/>
    </w:pPr>
    <w:rPr>
      <w:sz w:val="28"/>
    </w:rPr>
  </w:style>
  <w:style w:type="character" w:customStyle="1" w:styleId="BodyText2Char">
    <w:name w:val="Body Text 2 Char"/>
    <w:basedOn w:val="DefaultParagraphFont"/>
    <w:link w:val="BodyText2"/>
    <w:semiHidden/>
    <w:rsid w:val="00670C79"/>
    <w:rPr>
      <w:rFonts w:ascii="Times New Roman" w:eastAsia="Times New Roman" w:hAnsi="Times New Roman" w:cs="Times New Roman"/>
      <w:sz w:val="28"/>
      <w:szCs w:val="24"/>
      <w:lang w:val="ro-RO"/>
    </w:rPr>
  </w:style>
  <w:style w:type="paragraph" w:styleId="Title">
    <w:name w:val="Title"/>
    <w:basedOn w:val="Normal"/>
    <w:link w:val="TitleChar"/>
    <w:qFormat/>
    <w:rsid w:val="00670C79"/>
    <w:pPr>
      <w:spacing w:line="360" w:lineRule="auto"/>
      <w:jc w:val="center"/>
    </w:pPr>
    <w:rPr>
      <w:b/>
      <w:sz w:val="32"/>
      <w:szCs w:val="32"/>
    </w:rPr>
  </w:style>
  <w:style w:type="character" w:customStyle="1" w:styleId="TitleChar">
    <w:name w:val="Title Char"/>
    <w:basedOn w:val="DefaultParagraphFont"/>
    <w:link w:val="Title"/>
    <w:rsid w:val="00670C79"/>
    <w:rPr>
      <w:rFonts w:ascii="Times New Roman" w:eastAsia="Times New Roman" w:hAnsi="Times New Roman" w:cs="Times New Roman"/>
      <w:b/>
      <w:sz w:val="32"/>
      <w:szCs w:val="32"/>
      <w:lang w:val="ro-RO"/>
    </w:rPr>
  </w:style>
  <w:style w:type="paragraph" w:styleId="Footer">
    <w:name w:val="footer"/>
    <w:basedOn w:val="Normal"/>
    <w:link w:val="FooterChar"/>
    <w:uiPriority w:val="99"/>
    <w:rsid w:val="00670C79"/>
    <w:pPr>
      <w:tabs>
        <w:tab w:val="center" w:pos="4536"/>
        <w:tab w:val="right" w:pos="9072"/>
      </w:tabs>
    </w:pPr>
  </w:style>
  <w:style w:type="character" w:customStyle="1" w:styleId="FooterChar">
    <w:name w:val="Footer Char"/>
    <w:basedOn w:val="DefaultParagraphFont"/>
    <w:link w:val="Footer"/>
    <w:uiPriority w:val="99"/>
    <w:rsid w:val="00670C79"/>
    <w:rPr>
      <w:rFonts w:ascii="Times New Roman" w:eastAsia="Times New Roman" w:hAnsi="Times New Roman" w:cs="Times New Roman"/>
      <w:sz w:val="24"/>
      <w:szCs w:val="24"/>
      <w:lang w:val="ro-RO"/>
    </w:rPr>
  </w:style>
  <w:style w:type="character" w:styleId="PageNumber">
    <w:name w:val="page number"/>
    <w:basedOn w:val="DefaultParagraphFont"/>
    <w:rsid w:val="00670C79"/>
  </w:style>
  <w:style w:type="table" w:styleId="TableGrid">
    <w:name w:val="Table Grid"/>
    <w:basedOn w:val="TableNormal"/>
    <w:uiPriority w:val="59"/>
    <w:rsid w:val="00670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7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670C79"/>
    <w:rPr>
      <w:rFonts w:ascii="Courier New" w:eastAsia="Times New Roman" w:hAnsi="Courier New" w:cs="Courier New"/>
      <w:sz w:val="20"/>
      <w:szCs w:val="20"/>
      <w:lang w:val="ro-RO" w:eastAsia="ro-RO"/>
    </w:rPr>
  </w:style>
  <w:style w:type="paragraph" w:styleId="NoSpacing">
    <w:name w:val="No Spacing"/>
    <w:link w:val="NoSpacingChar"/>
    <w:qFormat/>
    <w:rsid w:val="00966D02"/>
    <w:pPr>
      <w:spacing w:after="0" w:line="240" w:lineRule="auto"/>
    </w:pPr>
    <w:rPr>
      <w:rFonts w:ascii="Calibri" w:eastAsia="Calibri" w:hAnsi="Calibri" w:cs="Times New Roman"/>
    </w:rPr>
  </w:style>
  <w:style w:type="character" w:customStyle="1" w:styleId="NoSpacingChar">
    <w:name w:val="No Spacing Char"/>
    <w:link w:val="NoSpacing"/>
    <w:locked/>
    <w:rsid w:val="00966D02"/>
    <w:rPr>
      <w:rFonts w:ascii="Calibri" w:eastAsia="Calibri" w:hAnsi="Calibri" w:cs="Times New Roman"/>
    </w:rPr>
  </w:style>
  <w:style w:type="paragraph" w:styleId="BalloonText">
    <w:name w:val="Balloon Text"/>
    <w:basedOn w:val="Normal"/>
    <w:link w:val="BalloonTextChar"/>
    <w:uiPriority w:val="99"/>
    <w:semiHidden/>
    <w:unhideWhenUsed/>
    <w:rsid w:val="00BA4E0F"/>
    <w:rPr>
      <w:rFonts w:ascii="Tahoma" w:hAnsi="Tahoma" w:cs="Tahoma"/>
      <w:sz w:val="16"/>
      <w:szCs w:val="16"/>
    </w:rPr>
  </w:style>
  <w:style w:type="character" w:customStyle="1" w:styleId="BalloonTextChar">
    <w:name w:val="Balloon Text Char"/>
    <w:basedOn w:val="DefaultParagraphFont"/>
    <w:link w:val="BalloonText"/>
    <w:uiPriority w:val="99"/>
    <w:semiHidden/>
    <w:rsid w:val="00BA4E0F"/>
    <w:rPr>
      <w:rFonts w:ascii="Tahoma" w:eastAsia="Times New Roman" w:hAnsi="Tahoma" w:cs="Tahoma"/>
      <w:sz w:val="16"/>
      <w:szCs w:val="16"/>
      <w:lang w:val="ro-RO"/>
    </w:rPr>
  </w:style>
  <w:style w:type="character" w:styleId="CommentReference">
    <w:name w:val="annotation reference"/>
    <w:basedOn w:val="DefaultParagraphFont"/>
    <w:unhideWhenUsed/>
    <w:rsid w:val="00CE7B3A"/>
    <w:rPr>
      <w:sz w:val="16"/>
      <w:szCs w:val="16"/>
    </w:rPr>
  </w:style>
  <w:style w:type="paragraph" w:styleId="CommentText">
    <w:name w:val="annotation text"/>
    <w:basedOn w:val="Normal"/>
    <w:link w:val="CommentTextChar"/>
    <w:unhideWhenUsed/>
    <w:rsid w:val="00CE7B3A"/>
    <w:rPr>
      <w:sz w:val="20"/>
      <w:szCs w:val="20"/>
    </w:rPr>
  </w:style>
  <w:style w:type="character" w:customStyle="1" w:styleId="CommentTextChar">
    <w:name w:val="Comment Text Char"/>
    <w:basedOn w:val="DefaultParagraphFont"/>
    <w:link w:val="CommentText"/>
    <w:rsid w:val="00CE7B3A"/>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E7B3A"/>
    <w:rPr>
      <w:b/>
      <w:bCs/>
    </w:rPr>
  </w:style>
  <w:style w:type="character" w:customStyle="1" w:styleId="CommentSubjectChar">
    <w:name w:val="Comment Subject Char"/>
    <w:basedOn w:val="CommentTextChar"/>
    <w:link w:val="CommentSubject"/>
    <w:uiPriority w:val="99"/>
    <w:semiHidden/>
    <w:rsid w:val="00CE7B3A"/>
    <w:rPr>
      <w:rFonts w:ascii="Times New Roman" w:eastAsia="Times New Roman" w:hAnsi="Times New Roman" w:cs="Times New Roman"/>
      <w:b/>
      <w:bCs/>
      <w:sz w:val="20"/>
      <w:szCs w:val="20"/>
      <w:lang w:val="ro-RO"/>
    </w:rPr>
  </w:style>
  <w:style w:type="character" w:customStyle="1" w:styleId="Heading3Char">
    <w:name w:val="Heading 3 Char"/>
    <w:basedOn w:val="DefaultParagraphFont"/>
    <w:link w:val="Heading3"/>
    <w:uiPriority w:val="9"/>
    <w:rsid w:val="00C01DF1"/>
    <w:rPr>
      <w:rFonts w:asciiTheme="majorHAnsi" w:eastAsiaTheme="majorEastAsia" w:hAnsiTheme="majorHAnsi" w:cstheme="majorBidi"/>
      <w:b/>
      <w:bCs/>
      <w:color w:val="5B9BD5" w:themeColor="accent1"/>
      <w:sz w:val="24"/>
      <w:szCs w:val="24"/>
      <w:lang w:val="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34"/>
    <w:qFormat/>
    <w:rsid w:val="00CD681E"/>
    <w:pPr>
      <w:ind w:left="720"/>
      <w:contextualSpacing/>
    </w:pPr>
    <w:rPr>
      <w:rFonts w:asciiTheme="minorHAnsi" w:eastAsiaTheme="minorHAnsi" w:hAnsiTheme="minorHAnsi" w:cstheme="minorBidi"/>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99"/>
    <w:locked/>
    <w:rsid w:val="009B71DC"/>
    <w:rPr>
      <w:sz w:val="24"/>
      <w:szCs w:val="24"/>
      <w:lang w:val="ro-RO"/>
    </w:rPr>
  </w:style>
  <w:style w:type="character" w:customStyle="1" w:styleId="ColorfulList-Accent1Char">
    <w:name w:val="Colorful List - Accent 1 Char"/>
    <w:link w:val="ColorfulList-Accent1"/>
    <w:uiPriority w:val="34"/>
    <w:locked/>
    <w:rsid w:val="009B71DC"/>
    <w:rPr>
      <w:noProof/>
      <w:sz w:val="24"/>
      <w:szCs w:val="24"/>
      <w:lang w:val="ro-RO"/>
    </w:rPr>
  </w:style>
  <w:style w:type="table" w:styleId="ColorfulList-Accent1">
    <w:name w:val="Colorful List Accent 1"/>
    <w:basedOn w:val="TableNormal"/>
    <w:link w:val="ColorfulList-Accent1Char"/>
    <w:uiPriority w:val="34"/>
    <w:rsid w:val="009B71DC"/>
    <w:pPr>
      <w:spacing w:after="0" w:line="240" w:lineRule="auto"/>
    </w:pPr>
    <w:rPr>
      <w:noProof/>
      <w:sz w:val="24"/>
      <w:szCs w:val="24"/>
      <w:lang w:val="ro-RO"/>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A47F0"/>
    <w:pPr>
      <w:tabs>
        <w:tab w:val="center" w:pos="4536"/>
        <w:tab w:val="right" w:pos="9072"/>
      </w:tabs>
    </w:pPr>
  </w:style>
  <w:style w:type="character" w:customStyle="1" w:styleId="HeaderChar">
    <w:name w:val="Header Char"/>
    <w:basedOn w:val="DefaultParagraphFont"/>
    <w:link w:val="Header"/>
    <w:uiPriority w:val="99"/>
    <w:rsid w:val="00BA47F0"/>
    <w:rPr>
      <w:rFonts w:ascii="Times New Roman" w:eastAsia="Times New Roman" w:hAnsi="Times New Roman" w:cs="Times New Roman"/>
      <w:sz w:val="24"/>
      <w:szCs w:val="24"/>
      <w:lang w:val="ro-RO"/>
    </w:rPr>
  </w:style>
  <w:style w:type="character" w:customStyle="1" w:styleId="panchor">
    <w:name w:val="panchor"/>
    <w:basedOn w:val="DefaultParagraphFont"/>
    <w:rsid w:val="00161A61"/>
  </w:style>
  <w:style w:type="character" w:styleId="Hyperlink">
    <w:name w:val="Hyperlink"/>
    <w:basedOn w:val="DefaultParagraphFont"/>
    <w:uiPriority w:val="99"/>
    <w:semiHidden/>
    <w:unhideWhenUsed/>
    <w:rsid w:val="001B7961"/>
    <w:rPr>
      <w:color w:val="0000FF"/>
      <w:u w:val="single"/>
    </w:rPr>
  </w:style>
  <w:style w:type="character" w:customStyle="1" w:styleId="slgi">
    <w:name w:val="s_lgi"/>
    <w:basedOn w:val="DefaultParagraphFont"/>
    <w:rsid w:val="00EF067B"/>
  </w:style>
  <w:style w:type="paragraph" w:styleId="Revision">
    <w:name w:val="Revision"/>
    <w:hidden/>
    <w:uiPriority w:val="99"/>
    <w:semiHidden/>
    <w:rsid w:val="00E51892"/>
    <w:pPr>
      <w:spacing w:after="0"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5865">
      <w:bodyDiv w:val="1"/>
      <w:marLeft w:val="0"/>
      <w:marRight w:val="0"/>
      <w:marTop w:val="0"/>
      <w:marBottom w:val="0"/>
      <w:divBdr>
        <w:top w:val="none" w:sz="0" w:space="0" w:color="auto"/>
        <w:left w:val="none" w:sz="0" w:space="0" w:color="auto"/>
        <w:bottom w:val="none" w:sz="0" w:space="0" w:color="auto"/>
        <w:right w:val="none" w:sz="0" w:space="0" w:color="auto"/>
      </w:divBdr>
    </w:div>
    <w:div w:id="168638186">
      <w:bodyDiv w:val="1"/>
      <w:marLeft w:val="0"/>
      <w:marRight w:val="0"/>
      <w:marTop w:val="0"/>
      <w:marBottom w:val="0"/>
      <w:divBdr>
        <w:top w:val="none" w:sz="0" w:space="0" w:color="auto"/>
        <w:left w:val="none" w:sz="0" w:space="0" w:color="auto"/>
        <w:bottom w:val="none" w:sz="0" w:space="0" w:color="auto"/>
        <w:right w:val="none" w:sz="0" w:space="0" w:color="auto"/>
      </w:divBdr>
    </w:div>
    <w:div w:id="186409884">
      <w:bodyDiv w:val="1"/>
      <w:marLeft w:val="0"/>
      <w:marRight w:val="0"/>
      <w:marTop w:val="0"/>
      <w:marBottom w:val="0"/>
      <w:divBdr>
        <w:top w:val="none" w:sz="0" w:space="0" w:color="auto"/>
        <w:left w:val="none" w:sz="0" w:space="0" w:color="auto"/>
        <w:bottom w:val="none" w:sz="0" w:space="0" w:color="auto"/>
        <w:right w:val="none" w:sz="0" w:space="0" w:color="auto"/>
      </w:divBdr>
    </w:div>
    <w:div w:id="264387125">
      <w:bodyDiv w:val="1"/>
      <w:marLeft w:val="0"/>
      <w:marRight w:val="0"/>
      <w:marTop w:val="0"/>
      <w:marBottom w:val="0"/>
      <w:divBdr>
        <w:top w:val="none" w:sz="0" w:space="0" w:color="auto"/>
        <w:left w:val="none" w:sz="0" w:space="0" w:color="auto"/>
        <w:bottom w:val="none" w:sz="0" w:space="0" w:color="auto"/>
        <w:right w:val="none" w:sz="0" w:space="0" w:color="auto"/>
      </w:divBdr>
    </w:div>
    <w:div w:id="270818119">
      <w:bodyDiv w:val="1"/>
      <w:marLeft w:val="0"/>
      <w:marRight w:val="0"/>
      <w:marTop w:val="0"/>
      <w:marBottom w:val="0"/>
      <w:divBdr>
        <w:top w:val="none" w:sz="0" w:space="0" w:color="auto"/>
        <w:left w:val="none" w:sz="0" w:space="0" w:color="auto"/>
        <w:bottom w:val="none" w:sz="0" w:space="0" w:color="auto"/>
        <w:right w:val="none" w:sz="0" w:space="0" w:color="auto"/>
      </w:divBdr>
    </w:div>
    <w:div w:id="274027299">
      <w:bodyDiv w:val="1"/>
      <w:marLeft w:val="0"/>
      <w:marRight w:val="0"/>
      <w:marTop w:val="0"/>
      <w:marBottom w:val="0"/>
      <w:divBdr>
        <w:top w:val="none" w:sz="0" w:space="0" w:color="auto"/>
        <w:left w:val="none" w:sz="0" w:space="0" w:color="auto"/>
        <w:bottom w:val="none" w:sz="0" w:space="0" w:color="auto"/>
        <w:right w:val="none" w:sz="0" w:space="0" w:color="auto"/>
      </w:divBdr>
    </w:div>
    <w:div w:id="341670646">
      <w:bodyDiv w:val="1"/>
      <w:marLeft w:val="0"/>
      <w:marRight w:val="0"/>
      <w:marTop w:val="0"/>
      <w:marBottom w:val="0"/>
      <w:divBdr>
        <w:top w:val="none" w:sz="0" w:space="0" w:color="auto"/>
        <w:left w:val="none" w:sz="0" w:space="0" w:color="auto"/>
        <w:bottom w:val="none" w:sz="0" w:space="0" w:color="auto"/>
        <w:right w:val="none" w:sz="0" w:space="0" w:color="auto"/>
      </w:divBdr>
    </w:div>
    <w:div w:id="398329692">
      <w:bodyDiv w:val="1"/>
      <w:marLeft w:val="0"/>
      <w:marRight w:val="0"/>
      <w:marTop w:val="0"/>
      <w:marBottom w:val="0"/>
      <w:divBdr>
        <w:top w:val="none" w:sz="0" w:space="0" w:color="auto"/>
        <w:left w:val="none" w:sz="0" w:space="0" w:color="auto"/>
        <w:bottom w:val="none" w:sz="0" w:space="0" w:color="auto"/>
        <w:right w:val="none" w:sz="0" w:space="0" w:color="auto"/>
      </w:divBdr>
    </w:div>
    <w:div w:id="435490971">
      <w:bodyDiv w:val="1"/>
      <w:marLeft w:val="0"/>
      <w:marRight w:val="0"/>
      <w:marTop w:val="0"/>
      <w:marBottom w:val="0"/>
      <w:divBdr>
        <w:top w:val="none" w:sz="0" w:space="0" w:color="auto"/>
        <w:left w:val="none" w:sz="0" w:space="0" w:color="auto"/>
        <w:bottom w:val="none" w:sz="0" w:space="0" w:color="auto"/>
        <w:right w:val="none" w:sz="0" w:space="0" w:color="auto"/>
      </w:divBdr>
    </w:div>
    <w:div w:id="472066420">
      <w:bodyDiv w:val="1"/>
      <w:marLeft w:val="0"/>
      <w:marRight w:val="0"/>
      <w:marTop w:val="0"/>
      <w:marBottom w:val="0"/>
      <w:divBdr>
        <w:top w:val="none" w:sz="0" w:space="0" w:color="auto"/>
        <w:left w:val="none" w:sz="0" w:space="0" w:color="auto"/>
        <w:bottom w:val="none" w:sz="0" w:space="0" w:color="auto"/>
        <w:right w:val="none" w:sz="0" w:space="0" w:color="auto"/>
      </w:divBdr>
    </w:div>
    <w:div w:id="550000596">
      <w:bodyDiv w:val="1"/>
      <w:marLeft w:val="0"/>
      <w:marRight w:val="0"/>
      <w:marTop w:val="0"/>
      <w:marBottom w:val="0"/>
      <w:divBdr>
        <w:top w:val="none" w:sz="0" w:space="0" w:color="auto"/>
        <w:left w:val="none" w:sz="0" w:space="0" w:color="auto"/>
        <w:bottom w:val="none" w:sz="0" w:space="0" w:color="auto"/>
        <w:right w:val="none" w:sz="0" w:space="0" w:color="auto"/>
      </w:divBdr>
    </w:div>
    <w:div w:id="724794826">
      <w:bodyDiv w:val="1"/>
      <w:marLeft w:val="0"/>
      <w:marRight w:val="0"/>
      <w:marTop w:val="0"/>
      <w:marBottom w:val="0"/>
      <w:divBdr>
        <w:top w:val="none" w:sz="0" w:space="0" w:color="auto"/>
        <w:left w:val="none" w:sz="0" w:space="0" w:color="auto"/>
        <w:bottom w:val="none" w:sz="0" w:space="0" w:color="auto"/>
        <w:right w:val="none" w:sz="0" w:space="0" w:color="auto"/>
      </w:divBdr>
    </w:div>
    <w:div w:id="821700759">
      <w:bodyDiv w:val="1"/>
      <w:marLeft w:val="0"/>
      <w:marRight w:val="0"/>
      <w:marTop w:val="0"/>
      <w:marBottom w:val="0"/>
      <w:divBdr>
        <w:top w:val="none" w:sz="0" w:space="0" w:color="auto"/>
        <w:left w:val="none" w:sz="0" w:space="0" w:color="auto"/>
        <w:bottom w:val="none" w:sz="0" w:space="0" w:color="auto"/>
        <w:right w:val="none" w:sz="0" w:space="0" w:color="auto"/>
      </w:divBdr>
    </w:div>
    <w:div w:id="1022050013">
      <w:bodyDiv w:val="1"/>
      <w:marLeft w:val="0"/>
      <w:marRight w:val="0"/>
      <w:marTop w:val="0"/>
      <w:marBottom w:val="0"/>
      <w:divBdr>
        <w:top w:val="none" w:sz="0" w:space="0" w:color="auto"/>
        <w:left w:val="none" w:sz="0" w:space="0" w:color="auto"/>
        <w:bottom w:val="none" w:sz="0" w:space="0" w:color="auto"/>
        <w:right w:val="none" w:sz="0" w:space="0" w:color="auto"/>
      </w:divBdr>
    </w:div>
    <w:div w:id="1069763157">
      <w:bodyDiv w:val="1"/>
      <w:marLeft w:val="0"/>
      <w:marRight w:val="0"/>
      <w:marTop w:val="0"/>
      <w:marBottom w:val="0"/>
      <w:divBdr>
        <w:top w:val="none" w:sz="0" w:space="0" w:color="auto"/>
        <w:left w:val="none" w:sz="0" w:space="0" w:color="auto"/>
        <w:bottom w:val="none" w:sz="0" w:space="0" w:color="auto"/>
        <w:right w:val="none" w:sz="0" w:space="0" w:color="auto"/>
      </w:divBdr>
    </w:div>
    <w:div w:id="1135099875">
      <w:bodyDiv w:val="1"/>
      <w:marLeft w:val="0"/>
      <w:marRight w:val="0"/>
      <w:marTop w:val="0"/>
      <w:marBottom w:val="0"/>
      <w:divBdr>
        <w:top w:val="none" w:sz="0" w:space="0" w:color="auto"/>
        <w:left w:val="none" w:sz="0" w:space="0" w:color="auto"/>
        <w:bottom w:val="none" w:sz="0" w:space="0" w:color="auto"/>
        <w:right w:val="none" w:sz="0" w:space="0" w:color="auto"/>
      </w:divBdr>
    </w:div>
    <w:div w:id="1137842082">
      <w:bodyDiv w:val="1"/>
      <w:marLeft w:val="0"/>
      <w:marRight w:val="0"/>
      <w:marTop w:val="0"/>
      <w:marBottom w:val="0"/>
      <w:divBdr>
        <w:top w:val="none" w:sz="0" w:space="0" w:color="auto"/>
        <w:left w:val="none" w:sz="0" w:space="0" w:color="auto"/>
        <w:bottom w:val="none" w:sz="0" w:space="0" w:color="auto"/>
        <w:right w:val="none" w:sz="0" w:space="0" w:color="auto"/>
      </w:divBdr>
    </w:div>
    <w:div w:id="1327518847">
      <w:bodyDiv w:val="1"/>
      <w:marLeft w:val="0"/>
      <w:marRight w:val="0"/>
      <w:marTop w:val="0"/>
      <w:marBottom w:val="0"/>
      <w:divBdr>
        <w:top w:val="none" w:sz="0" w:space="0" w:color="auto"/>
        <w:left w:val="none" w:sz="0" w:space="0" w:color="auto"/>
        <w:bottom w:val="none" w:sz="0" w:space="0" w:color="auto"/>
        <w:right w:val="none" w:sz="0" w:space="0" w:color="auto"/>
      </w:divBdr>
    </w:div>
    <w:div w:id="1413354410">
      <w:bodyDiv w:val="1"/>
      <w:marLeft w:val="0"/>
      <w:marRight w:val="0"/>
      <w:marTop w:val="0"/>
      <w:marBottom w:val="0"/>
      <w:divBdr>
        <w:top w:val="none" w:sz="0" w:space="0" w:color="auto"/>
        <w:left w:val="none" w:sz="0" w:space="0" w:color="auto"/>
        <w:bottom w:val="none" w:sz="0" w:space="0" w:color="auto"/>
        <w:right w:val="none" w:sz="0" w:space="0" w:color="auto"/>
      </w:divBdr>
    </w:div>
    <w:div w:id="1487282297">
      <w:bodyDiv w:val="1"/>
      <w:marLeft w:val="0"/>
      <w:marRight w:val="0"/>
      <w:marTop w:val="0"/>
      <w:marBottom w:val="0"/>
      <w:divBdr>
        <w:top w:val="none" w:sz="0" w:space="0" w:color="auto"/>
        <w:left w:val="none" w:sz="0" w:space="0" w:color="auto"/>
        <w:bottom w:val="none" w:sz="0" w:space="0" w:color="auto"/>
        <w:right w:val="none" w:sz="0" w:space="0" w:color="auto"/>
      </w:divBdr>
    </w:div>
    <w:div w:id="1576210594">
      <w:bodyDiv w:val="1"/>
      <w:marLeft w:val="0"/>
      <w:marRight w:val="0"/>
      <w:marTop w:val="0"/>
      <w:marBottom w:val="0"/>
      <w:divBdr>
        <w:top w:val="none" w:sz="0" w:space="0" w:color="auto"/>
        <w:left w:val="none" w:sz="0" w:space="0" w:color="auto"/>
        <w:bottom w:val="none" w:sz="0" w:space="0" w:color="auto"/>
        <w:right w:val="none" w:sz="0" w:space="0" w:color="auto"/>
      </w:divBdr>
    </w:div>
    <w:div w:id="1603996462">
      <w:bodyDiv w:val="1"/>
      <w:marLeft w:val="0"/>
      <w:marRight w:val="0"/>
      <w:marTop w:val="0"/>
      <w:marBottom w:val="0"/>
      <w:divBdr>
        <w:top w:val="none" w:sz="0" w:space="0" w:color="auto"/>
        <w:left w:val="none" w:sz="0" w:space="0" w:color="auto"/>
        <w:bottom w:val="none" w:sz="0" w:space="0" w:color="auto"/>
        <w:right w:val="none" w:sz="0" w:space="0" w:color="auto"/>
      </w:divBdr>
    </w:div>
    <w:div w:id="1659847536">
      <w:bodyDiv w:val="1"/>
      <w:marLeft w:val="0"/>
      <w:marRight w:val="0"/>
      <w:marTop w:val="0"/>
      <w:marBottom w:val="0"/>
      <w:divBdr>
        <w:top w:val="none" w:sz="0" w:space="0" w:color="auto"/>
        <w:left w:val="none" w:sz="0" w:space="0" w:color="auto"/>
        <w:bottom w:val="none" w:sz="0" w:space="0" w:color="auto"/>
        <w:right w:val="none" w:sz="0" w:space="0" w:color="auto"/>
      </w:divBdr>
    </w:div>
    <w:div w:id="1678927333">
      <w:bodyDiv w:val="1"/>
      <w:marLeft w:val="0"/>
      <w:marRight w:val="0"/>
      <w:marTop w:val="0"/>
      <w:marBottom w:val="0"/>
      <w:divBdr>
        <w:top w:val="none" w:sz="0" w:space="0" w:color="auto"/>
        <w:left w:val="none" w:sz="0" w:space="0" w:color="auto"/>
        <w:bottom w:val="none" w:sz="0" w:space="0" w:color="auto"/>
        <w:right w:val="none" w:sz="0" w:space="0" w:color="auto"/>
      </w:divBdr>
    </w:div>
    <w:div w:id="1700545194">
      <w:bodyDiv w:val="1"/>
      <w:marLeft w:val="0"/>
      <w:marRight w:val="0"/>
      <w:marTop w:val="0"/>
      <w:marBottom w:val="0"/>
      <w:divBdr>
        <w:top w:val="none" w:sz="0" w:space="0" w:color="auto"/>
        <w:left w:val="none" w:sz="0" w:space="0" w:color="auto"/>
        <w:bottom w:val="none" w:sz="0" w:space="0" w:color="auto"/>
        <w:right w:val="none" w:sz="0" w:space="0" w:color="auto"/>
      </w:divBdr>
    </w:div>
    <w:div w:id="1772241865">
      <w:bodyDiv w:val="1"/>
      <w:marLeft w:val="0"/>
      <w:marRight w:val="0"/>
      <w:marTop w:val="0"/>
      <w:marBottom w:val="0"/>
      <w:divBdr>
        <w:top w:val="none" w:sz="0" w:space="0" w:color="auto"/>
        <w:left w:val="none" w:sz="0" w:space="0" w:color="auto"/>
        <w:bottom w:val="none" w:sz="0" w:space="0" w:color="auto"/>
        <w:right w:val="none" w:sz="0" w:space="0" w:color="auto"/>
      </w:divBdr>
    </w:div>
    <w:div w:id="1821916945">
      <w:bodyDiv w:val="1"/>
      <w:marLeft w:val="0"/>
      <w:marRight w:val="0"/>
      <w:marTop w:val="0"/>
      <w:marBottom w:val="0"/>
      <w:divBdr>
        <w:top w:val="none" w:sz="0" w:space="0" w:color="auto"/>
        <w:left w:val="none" w:sz="0" w:space="0" w:color="auto"/>
        <w:bottom w:val="none" w:sz="0" w:space="0" w:color="auto"/>
        <w:right w:val="none" w:sz="0" w:space="0" w:color="auto"/>
      </w:divBdr>
    </w:div>
    <w:div w:id="1845515503">
      <w:bodyDiv w:val="1"/>
      <w:marLeft w:val="0"/>
      <w:marRight w:val="0"/>
      <w:marTop w:val="0"/>
      <w:marBottom w:val="0"/>
      <w:divBdr>
        <w:top w:val="none" w:sz="0" w:space="0" w:color="auto"/>
        <w:left w:val="none" w:sz="0" w:space="0" w:color="auto"/>
        <w:bottom w:val="none" w:sz="0" w:space="0" w:color="auto"/>
        <w:right w:val="none" w:sz="0" w:space="0" w:color="auto"/>
      </w:divBdr>
    </w:div>
    <w:div w:id="1996302533">
      <w:bodyDiv w:val="1"/>
      <w:marLeft w:val="0"/>
      <w:marRight w:val="0"/>
      <w:marTop w:val="0"/>
      <w:marBottom w:val="0"/>
      <w:divBdr>
        <w:top w:val="none" w:sz="0" w:space="0" w:color="auto"/>
        <w:left w:val="none" w:sz="0" w:space="0" w:color="auto"/>
        <w:bottom w:val="none" w:sz="0" w:space="0" w:color="auto"/>
        <w:right w:val="none" w:sz="0" w:space="0" w:color="auto"/>
      </w:divBdr>
    </w:div>
    <w:div w:id="2011642206">
      <w:bodyDiv w:val="1"/>
      <w:marLeft w:val="0"/>
      <w:marRight w:val="0"/>
      <w:marTop w:val="0"/>
      <w:marBottom w:val="0"/>
      <w:divBdr>
        <w:top w:val="none" w:sz="0" w:space="0" w:color="auto"/>
        <w:left w:val="none" w:sz="0" w:space="0" w:color="auto"/>
        <w:bottom w:val="none" w:sz="0" w:space="0" w:color="auto"/>
        <w:right w:val="none" w:sz="0" w:space="0" w:color="auto"/>
      </w:divBdr>
    </w:div>
    <w:div w:id="2073431588">
      <w:bodyDiv w:val="1"/>
      <w:marLeft w:val="0"/>
      <w:marRight w:val="0"/>
      <w:marTop w:val="0"/>
      <w:marBottom w:val="0"/>
      <w:divBdr>
        <w:top w:val="none" w:sz="0" w:space="0" w:color="auto"/>
        <w:left w:val="none" w:sz="0" w:space="0" w:color="auto"/>
        <w:bottom w:val="none" w:sz="0" w:space="0" w:color="auto"/>
        <w:right w:val="none" w:sz="0" w:space="0" w:color="auto"/>
      </w:divBdr>
    </w:div>
    <w:div w:id="21049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ro/ro/guvernul/cabinetul-de-ministri/ministrul-afacerilor-interne-ministru-interimar-al-justiti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D5CF-21E7-4E40-AC5E-ECFCC794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6879</Words>
  <Characters>39903</Characters>
  <Application>Microsoft Office Word</Application>
  <DocSecurity>0</DocSecurity>
  <Lines>332</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IULIANA-MIHAELA CERNAZEANU</dc:creator>
  <cp:lastModifiedBy>Gagu</cp:lastModifiedBy>
  <cp:revision>4</cp:revision>
  <cp:lastPrinted>2022-01-18T07:51:00Z</cp:lastPrinted>
  <dcterms:created xsi:type="dcterms:W3CDTF">2022-02-04T11:27:00Z</dcterms:created>
  <dcterms:modified xsi:type="dcterms:W3CDTF">2022-02-04T12:32:00Z</dcterms:modified>
</cp:coreProperties>
</file>